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ПОВОЛЖСКОГО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4 декабря 2024 г. N Ф06-9351/2024</w:t>
      </w:r>
    </w:p>
    <w:p>
      <w:pPr>
        <w:pStyle w:val="0"/>
        <w:ind w:firstLine="540"/>
        <w:jc w:val="both"/>
      </w:pPr>
      <w:r>
        <w:rPr>
          <w:sz w:val="24"/>
        </w:rPr>
      </w:r>
    </w:p>
    <w:p>
      <w:pPr>
        <w:pStyle w:val="0"/>
        <w:jc w:val="right"/>
      </w:pPr>
      <w:r>
        <w:rPr>
          <w:sz w:val="24"/>
        </w:rPr>
        <w:t xml:space="preserve">Дело N А65-36195/2023</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26 ноября 2024 года.</w:t>
      </w:r>
    </w:p>
    <w:p>
      <w:pPr>
        <w:pStyle w:val="0"/>
        <w:spacing w:before="240" w:lineRule="auto"/>
        <w:ind w:firstLine="540"/>
        <w:jc w:val="both"/>
      </w:pPr>
      <w:r>
        <w:rPr>
          <w:sz w:val="24"/>
        </w:rPr>
        <w:t xml:space="preserve">Полный текст постановления изготовлен 04 декабря 2024 года.</w:t>
      </w:r>
    </w:p>
    <w:p>
      <w:pPr>
        <w:pStyle w:val="0"/>
        <w:spacing w:before="240" w:lineRule="auto"/>
        <w:ind w:firstLine="540"/>
        <w:jc w:val="both"/>
      </w:pPr>
      <w:r>
        <w:rPr>
          <w:sz w:val="24"/>
        </w:rPr>
        <w:t xml:space="preserve">Арбитражный суд Поволжского округа в составе:</w:t>
      </w:r>
    </w:p>
    <w:p>
      <w:pPr>
        <w:pStyle w:val="0"/>
        <w:spacing w:before="240" w:lineRule="auto"/>
        <w:ind w:firstLine="540"/>
        <w:jc w:val="both"/>
      </w:pPr>
      <w:r>
        <w:rPr>
          <w:sz w:val="24"/>
        </w:rPr>
        <w:t xml:space="preserve">председательствующего судьи Закировой И.Ш.,</w:t>
      </w:r>
    </w:p>
    <w:p>
      <w:pPr>
        <w:pStyle w:val="0"/>
        <w:spacing w:before="240" w:lineRule="auto"/>
        <w:ind w:firstLine="540"/>
        <w:jc w:val="both"/>
      </w:pPr>
      <w:r>
        <w:rPr>
          <w:sz w:val="24"/>
        </w:rPr>
        <w:t xml:space="preserve">судей Мухаметшина Р.Р., Хабибуллина Л.Ф.,</w:t>
      </w:r>
    </w:p>
    <w:p>
      <w:pPr>
        <w:pStyle w:val="0"/>
        <w:spacing w:before="240" w:lineRule="auto"/>
        <w:ind w:firstLine="540"/>
        <w:jc w:val="both"/>
      </w:pPr>
      <w:r>
        <w:rPr>
          <w:sz w:val="24"/>
        </w:rPr>
        <w:t xml:space="preserve">при участии представителей:</w:t>
      </w:r>
    </w:p>
    <w:p>
      <w:pPr>
        <w:pStyle w:val="0"/>
        <w:spacing w:before="240" w:lineRule="auto"/>
        <w:ind w:firstLine="540"/>
        <w:jc w:val="both"/>
      </w:pPr>
      <w:r>
        <w:rPr>
          <w:sz w:val="24"/>
        </w:rPr>
        <w:t xml:space="preserve">Общества с ограниченной ответственностью "Север-Строй" - Гилязовой Л.Ф., доверенность от 21.11.2024,</w:t>
      </w:r>
    </w:p>
    <w:p>
      <w:pPr>
        <w:pStyle w:val="0"/>
        <w:spacing w:before="240" w:lineRule="auto"/>
        <w:ind w:firstLine="540"/>
        <w:jc w:val="both"/>
      </w:pPr>
      <w:r>
        <w:rPr>
          <w:sz w:val="24"/>
        </w:rPr>
        <w:t xml:space="preserve">Межрайонной инспекции Федеральной налоговой службы N 5 по Республике Татарстан - Мустафиной И.К., доверенность от 05.04.2024, Гарифуллиной Е.С., доверенность от 07.02.2024,</w:t>
      </w:r>
    </w:p>
    <w:p>
      <w:pPr>
        <w:pStyle w:val="0"/>
        <w:spacing w:before="240" w:lineRule="auto"/>
        <w:ind w:firstLine="540"/>
        <w:jc w:val="both"/>
      </w:pPr>
      <w:r>
        <w:rPr>
          <w:sz w:val="24"/>
        </w:rPr>
        <w:t xml:space="preserve">Управления Федеральной налоговой службы по Республике Татарстан - Гарифуллиной Е.С., доверенность от 02.04.2024,</w:t>
      </w:r>
    </w:p>
    <w:p>
      <w:pPr>
        <w:pStyle w:val="0"/>
        <w:spacing w:before="240" w:lineRule="auto"/>
        <w:ind w:firstLine="540"/>
        <w:jc w:val="both"/>
      </w:pPr>
      <w:r>
        <w:rPr>
          <w:sz w:val="24"/>
        </w:rPr>
        <w:t xml:space="preserve">рассмотрев в открытом судебном заседании кассационную жалобу Межрайонной инспекции Федеральной налоговой службы N 5 по Республике Татарстан</w:t>
      </w:r>
    </w:p>
    <w:p>
      <w:pPr>
        <w:pStyle w:val="0"/>
        <w:spacing w:before="240" w:lineRule="auto"/>
        <w:ind w:firstLine="540"/>
        <w:jc w:val="both"/>
      </w:pPr>
      <w:r>
        <w:rPr>
          <w:sz w:val="24"/>
        </w:rPr>
        <w:t xml:space="preserve">на </w:t>
      </w:r>
      <w:hyperlink w:history="0" r:id="rId7" w:tooltip="Решение Арбитражного суда Республики Татарстан от 23.04.2024 по делу N А65-36195/2023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в части. {КонсультантПлюс}">
        <w:r>
          <w:rPr>
            <w:sz w:val="24"/>
            <w:color w:val="0000ff"/>
          </w:rPr>
          <w:t xml:space="preserve">решение</w:t>
        </w:r>
      </w:hyperlink>
      <w:r>
        <w:rPr>
          <w:sz w:val="24"/>
        </w:rPr>
        <w:t xml:space="preserve"> Арбитражного суда Республики Татарстан от 23.04.2024 и </w:t>
      </w:r>
      <w:hyperlink w:history="0" r:id="rId8" w:tooltip="Постановление Одиннадцатого арбитражного апелляционного суда от 29.07.2024 N 11АП-8799/2024 по делу N А65-36195/2023 Требование: О признании недействительным решения налогового органа о привлечении к ответственности за совершение налогового правонарушения. Решение: Требование удовлетворено в части. {КонсультантПлюс}">
        <w:r>
          <w:rPr>
            <w:sz w:val="24"/>
            <w:color w:val="0000ff"/>
          </w:rPr>
          <w:t xml:space="preserve">постановление</w:t>
        </w:r>
      </w:hyperlink>
      <w:r>
        <w:rPr>
          <w:sz w:val="24"/>
        </w:rPr>
        <w:t xml:space="preserve"> Одиннадцатого арбитражного апелляционного суда от 29.07.2024</w:t>
      </w:r>
    </w:p>
    <w:p>
      <w:pPr>
        <w:pStyle w:val="0"/>
        <w:spacing w:before="240" w:lineRule="auto"/>
        <w:ind w:firstLine="540"/>
        <w:jc w:val="both"/>
      </w:pPr>
      <w:r>
        <w:rPr>
          <w:sz w:val="24"/>
        </w:rPr>
        <w:t xml:space="preserve">по делу N А65-36195/2023</w:t>
      </w:r>
    </w:p>
    <w:p>
      <w:pPr>
        <w:pStyle w:val="0"/>
        <w:spacing w:before="240" w:lineRule="auto"/>
        <w:ind w:firstLine="540"/>
        <w:jc w:val="both"/>
      </w:pPr>
      <w:r>
        <w:rPr>
          <w:sz w:val="24"/>
        </w:rPr>
        <w:t xml:space="preserve">по заявлению общества с ограниченной ответственностью "Север-Строй", к Межрайонной инспекции Федеральной налоговой службы N 5 по Республике Татарстан, третье лицо, не заявляющее самостоятельных требований относительно предмета спора, - Управление Федеральной налоговой службы по Республике Татарстан, о взыскании денежных средств,</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"Север-Строй", г. Казань (ОГРН 1131690062822, ИНН 1658149940) (далее - заявитель, налогоплательщик, общество, ООО "Север-Строй"), обратилось в суд с заявлением к Межрайонной инспекции Федеральной налоговой службы N 5 по Республике Татарстан, г. Казань (ОГРН 1041625497220, ИНН 1657021129) (далее - ответчик, налоговый орган, инспекция), о признании недействительным решения от 27.06.2023 N 2.16-13/57 и об обязании устранить допущенные нарушения прав и законных интересов общества с ограниченной ответственностью "Север-Строй".</w:t>
      </w:r>
    </w:p>
    <w:p>
      <w:pPr>
        <w:pStyle w:val="0"/>
        <w:spacing w:before="240" w:lineRule="auto"/>
        <w:ind w:firstLine="540"/>
        <w:jc w:val="both"/>
      </w:pPr>
      <w:r>
        <w:rPr>
          <w:sz w:val="24"/>
        </w:rPr>
        <w:t xml:space="preserve">Арбитражный суд Республики Татарстан привлек к участию в деле в качестве третьего лица, не заявляющего самостоятельные требования относительно предмета спора Управление Федеральной налоговой службы по Республике Татарстан, г. Казань (далее по тексту - Управление ФНС по РТ, Управление).</w:t>
      </w:r>
    </w:p>
    <w:p>
      <w:pPr>
        <w:pStyle w:val="0"/>
        <w:spacing w:before="240" w:lineRule="auto"/>
        <w:ind w:firstLine="540"/>
        <w:jc w:val="both"/>
      </w:pPr>
      <w:hyperlink w:history="0" r:id="rId9" w:tooltip="Решение Арбитражного суда Республики Татарстан от 23.04.2024 по делу N А65-36195/2023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в части. {КонсультантПлюс}">
        <w:r>
          <w:rPr>
            <w:sz w:val="24"/>
            <w:color w:val="0000ff"/>
          </w:rPr>
          <w:t xml:space="preserve">Решением</w:t>
        </w:r>
      </w:hyperlink>
      <w:r>
        <w:rPr>
          <w:sz w:val="24"/>
        </w:rPr>
        <w:t xml:space="preserve"> Арбитражного суда Республики Татарстан от 23.04.2024 заявленные требования удовлетворены частично. Суд признал недействительным решение Межрайонной инспекции Федеральной налоговой службы N 5 по Республике Татарстан от 27.06.2023 N 2.16-13/57 о привлечении к ответственности за совершение налогового правонарушения в части доначисления налога на добавленную стоимость по взаимоотношениям с ООО "Статус", ООО Строительная компания "Основание", ООО "Каскад", ООО "Сигма", ООО "Трансопт", ООО "Афон", ООО "Бастерр", ООО "Бастион", ООО "Диамант", ООО Компания "Малахит", ООО "Продоптторг", ООО "Решение", ООО "Родис", ООО "Строительная компания "Кристалл", ООО "Сокол", ООО "Спецгарант", ООО "Форестгрупп", ООО "Дельта", ООО "СТК Сфера", ООО "Гелион Групп", ООО "Интехпром", ООО "Оптимальный элемент", ООО "СК Гросс", ООО "Модерн", ООО СТК "Стройкомплектация", соответствующих сумм штрафа; в части доначисления налога на прибыль организаций по взаимоотношениям с ООО Строительная компания "Основание", ООО "Каскад", ООО "Сигма", ООО "Афон", ООО Компания "Малахит", ООО "Строительная компания "Кристалл", ООО "Сокол", ООО "Форестгрупп", ООО "Дельта", ООО "СТК Сфера", ООО "Гелион Групп", ООО "Интехпром", ООО "СК Гросс", соответствующих сумм штрафа. В удовлетворении остальной части заявленных требований было отказано.</w:t>
      </w:r>
    </w:p>
    <w:p>
      <w:pPr>
        <w:pStyle w:val="0"/>
        <w:spacing w:before="240" w:lineRule="auto"/>
        <w:ind w:firstLine="540"/>
        <w:jc w:val="both"/>
      </w:pPr>
      <w:hyperlink w:history="0" r:id="rId10" w:tooltip="Постановление Одиннадцатого арбитражного апелляционного суда от 29.07.2024 N 11АП-8799/2024 по делу N А65-36195/2023 Требование: О признании недействительным решения налогового органа о привлечении к ответственности за совершение налогового правонарушения. Решение: Требование удовлетворено в части. {КонсультантПлюс}">
        <w:r>
          <w:rPr>
            <w:sz w:val="24"/>
            <w:color w:val="0000ff"/>
          </w:rPr>
          <w:t xml:space="preserve">Постановлением</w:t>
        </w:r>
      </w:hyperlink>
      <w:r>
        <w:rPr>
          <w:sz w:val="24"/>
        </w:rPr>
        <w:t xml:space="preserve"> Одиннадцатого арбитражного апелляционного суда от 29.07.2024 </w:t>
      </w:r>
      <w:hyperlink w:history="0" r:id="rId11" w:tooltip="Решение Арбитражного суда Республики Татарстан от 23.04.2024 по делу N А65-36195/2023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в части. {КонсультантПлюс}">
        <w:r>
          <w:rPr>
            <w:sz w:val="24"/>
            <w:color w:val="0000ff"/>
          </w:rPr>
          <w:t xml:space="preserve">решение</w:t>
        </w:r>
      </w:hyperlink>
      <w:r>
        <w:rPr>
          <w:sz w:val="24"/>
        </w:rPr>
        <w:t xml:space="preserve"> Арбитражного суда Республики Татарстан оставлено без изменения.</w:t>
      </w:r>
    </w:p>
    <w:p>
      <w:pPr>
        <w:pStyle w:val="0"/>
        <w:spacing w:before="240" w:lineRule="auto"/>
        <w:ind w:firstLine="540"/>
        <w:jc w:val="both"/>
      </w:pPr>
      <w:r>
        <w:rPr>
          <w:sz w:val="24"/>
        </w:rPr>
        <w:t xml:space="preserve">Инспекция, не согласившись с решением суда первой инстанции и </w:t>
      </w:r>
      <w:hyperlink w:history="0" r:id="rId12" w:tooltip="Постановление Одиннадцатого арбитражного апелляционного суда от 29.07.2024 N 11АП-8799/2024 по делу N А65-36195/2023 Требование: О признании недействительным решения налогового органа о привлечении к ответственности за совершение налогового правонарушения. Решение: Требование удовлетворено в части. {КонсультантПлюс}">
        <w:r>
          <w:rPr>
            <w:sz w:val="24"/>
            <w:color w:val="0000ff"/>
          </w:rPr>
          <w:t xml:space="preserve">постановлением</w:t>
        </w:r>
      </w:hyperlink>
      <w:r>
        <w:rPr>
          <w:sz w:val="24"/>
        </w:rPr>
        <w:t xml:space="preserve"> суда апелляционной инстанции, обратилась в Арбитражный суд Поволжского округа с кассационной жалобой, в которой просит их отменить, направить дело на новое рассмотрение.</w:t>
      </w:r>
    </w:p>
    <w:p>
      <w:pPr>
        <w:pStyle w:val="0"/>
        <w:spacing w:before="240" w:lineRule="auto"/>
        <w:ind w:firstLine="540"/>
        <w:jc w:val="both"/>
      </w:pPr>
      <w:r>
        <w:rPr>
          <w:sz w:val="24"/>
        </w:rPr>
        <w:t xml:space="preserve">В обоснование своей позиции инспекция указала, что у налогоплательщика не было необходимости привлекать спецтехнику спорных контрагентов. Он полностью обеспечен собственной спецтехникой и техникой, арендованной у реальных контрагентов.</w:t>
      </w:r>
    </w:p>
    <w:p>
      <w:pPr>
        <w:pStyle w:val="0"/>
        <w:spacing w:before="240" w:lineRule="auto"/>
        <w:ind w:firstLine="540"/>
        <w:jc w:val="both"/>
      </w:pPr>
      <w:r>
        <w:rPr>
          <w:sz w:val="24"/>
        </w:rPr>
        <w:t xml:space="preserve">В отзыве на кассационную жалобу налогоплательщик просит оставить судебные акты без изменения. По мнению общества, утверждения налогового органа о нереальности сделок со спорными контрагентами противоречат выводам, сделанным самим налоговым органом в оспариваемом решении.</w:t>
      </w:r>
    </w:p>
    <w:p>
      <w:pPr>
        <w:pStyle w:val="0"/>
        <w:spacing w:before="240" w:lineRule="auto"/>
        <w:ind w:firstLine="540"/>
        <w:jc w:val="both"/>
      </w:pPr>
      <w:r>
        <w:rPr>
          <w:sz w:val="24"/>
        </w:rPr>
        <w:t xml:space="preserve">Представители налоговых органов в судебном заседании поддержали доводы кассационной жалобы.</w:t>
      </w:r>
    </w:p>
    <w:p>
      <w:pPr>
        <w:pStyle w:val="0"/>
        <w:spacing w:before="240" w:lineRule="auto"/>
        <w:ind w:firstLine="540"/>
        <w:jc w:val="both"/>
      </w:pPr>
      <w:r>
        <w:rPr>
          <w:sz w:val="24"/>
        </w:rPr>
        <w:t xml:space="preserve">Представитель общества в судебном заседании отклонил кассационную жалобу по основаниям, изложенным в отзыве.</w:t>
      </w:r>
    </w:p>
    <w:p>
      <w:pPr>
        <w:pStyle w:val="0"/>
        <w:spacing w:before="240" w:lineRule="auto"/>
        <w:ind w:firstLine="540"/>
        <w:jc w:val="both"/>
      </w:pPr>
      <w:r>
        <w:rPr>
          <w:sz w:val="24"/>
        </w:rPr>
        <w:t xml:space="preserve">Налоговым органом проведена выездная налоговая проверка заявителя по всем налогам, сборам и страховым взносам за период 01.01.2018 по 31.12.202, по результатам которой вынесено решение от 27.06.2023 N 2.16-13/57 о привлечении к ответственности за совершение налогового правонарушения, согласно которому ООО "Север-Строй" с учетом обстоятельств, смягчающих ответственность, привлечено к налоговой ответственности, предусмотренной </w:t>
      </w:r>
      <w:hyperlink w:history="0" r:id="rId1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3 статьи 122</w:t>
        </w:r>
      </w:hyperlink>
      <w:r>
        <w:rPr>
          <w:sz w:val="24"/>
        </w:rPr>
        <w:t xml:space="preserve"> и по </w:t>
      </w:r>
      <w:hyperlink w:history="0" r:id="rId1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пункту 1 статьи 126</w:t>
        </w:r>
      </w:hyperlink>
      <w:r>
        <w:rPr>
          <w:sz w:val="24"/>
        </w:rPr>
        <w:t xml:space="preserve"> Налогового кодекса Российской Федерации (далее - НК РФ) в виде штрафа на общую сумму 967 779 руб., а также налогоплательщику доначислена недоимка по налогу на добавленную стоимость (далее - НДС) и налогу на прибыль организаций.</w:t>
      </w:r>
    </w:p>
    <w:p>
      <w:pPr>
        <w:pStyle w:val="0"/>
        <w:spacing w:before="240" w:lineRule="auto"/>
        <w:ind w:firstLine="540"/>
        <w:jc w:val="both"/>
      </w:pPr>
      <w:r>
        <w:rPr>
          <w:sz w:val="24"/>
        </w:rPr>
        <w:t xml:space="preserve">Решением Управления ФНС по РТ от 07.11.2023 N 2.7-18/034500@ решение Межрайонной инспекции Федеральной налоговой службы N 5 по Республике Татарстан от 27.06.2023 N 2.16-13/57 о привлечении к ответственности за совершение налогового правонарушения в части доначисленных сумм налога на прибыль организации по контрагентам ООО "Авангард", ООО "Бастерр", ООО "Бастион", ООО "Диамант", ООО "Модерн", ООО "Оптимальный элемент", ООО "Решение", ООО "Спецгарант", ООО "Спецстрой", ООО "Статус", ООО "Торгово-производственная компания Урожай", ООО "СТК Строй комплектация", ООО "Трансопт", ООО "Продоптторг", ООО "Родис" отменено полностью, по взаимоотношениям с ООО "Гелион Групп", ООО "Каскад", ООО "Сигма", ООО Строительная компания "Основание", ООО "Форестгрупп", ООО Компания "Малахит" отменено в части доначисления по налогу на прибыль организации в части суммы, не заявленной налогоплательщиком в расходах по налогу на прибыль организации, а также соответствующих сумм штрафных санкций. В остальной части апелляционная жалоба ООО "Север-Строй" оставлена без удовлетворения.</w:t>
      </w:r>
    </w:p>
    <w:p>
      <w:pPr>
        <w:pStyle w:val="0"/>
        <w:spacing w:before="240" w:lineRule="auto"/>
        <w:ind w:firstLine="540"/>
        <w:jc w:val="both"/>
      </w:pPr>
      <w:r>
        <w:rPr>
          <w:sz w:val="24"/>
        </w:rPr>
        <w:t xml:space="preserve">Заявитель, не согласившись с указанными решениями налогового органа в оставшейся части, обратился в арбитражный суд с настоящим заявлением.</w:t>
      </w:r>
    </w:p>
    <w:p>
      <w:pPr>
        <w:pStyle w:val="0"/>
        <w:spacing w:before="240" w:lineRule="auto"/>
        <w:ind w:firstLine="540"/>
        <w:jc w:val="both"/>
      </w:pPr>
      <w:r>
        <w:rPr>
          <w:sz w:val="24"/>
        </w:rPr>
        <w:t xml:space="preserve">Кассационная инстанция, изучив материалы дела, доводы кассационной жалобы и отзыва на нее, проверив в соответствии со </w:t>
      </w:r>
      <w:hyperlink w:history="0" r:id="rId15"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статьей 286</w:t>
        </w:r>
      </w:hyperlink>
      <w:r>
        <w:rPr>
          <w:sz w:val="24"/>
        </w:rPr>
        <w:t xml:space="preserve"> Арбитражного процессуального кодекса Российской Федерации (далее - АПК РФ) правильность применения судами норм материального и процессуального права, оснований для удовлетворения жалобы не находит.</w:t>
      </w:r>
    </w:p>
    <w:p>
      <w:pPr>
        <w:pStyle w:val="0"/>
        <w:spacing w:before="240" w:lineRule="auto"/>
        <w:ind w:firstLine="540"/>
        <w:jc w:val="both"/>
      </w:pPr>
      <w:r>
        <w:rPr>
          <w:sz w:val="24"/>
        </w:rPr>
        <w:t xml:space="preserve">В соответствии с </w:t>
      </w:r>
      <w:hyperlink w:history="0" r:id="rId16"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частью 1 статьи 198</w:t>
        </w:r>
      </w:hyperlink>
      <w:r>
        <w:rPr>
          <w:sz w:val="24"/>
        </w:rPr>
        <w:t xml:space="preserve">, </w:t>
      </w:r>
      <w:hyperlink w:history="0" r:id="rId17"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частью 4 статьи 200</w:t>
        </w:r>
      </w:hyperlink>
      <w:r>
        <w:rPr>
          <w:sz w:val="24"/>
        </w:rPr>
        <w:t xml:space="preserve">, </w:t>
      </w:r>
      <w:hyperlink w:history="0" r:id="rId18"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частью 2</w:t>
        </w:r>
      </w:hyperlink>
      <w:r>
        <w:rPr>
          <w:sz w:val="24"/>
        </w:rPr>
        <w:t xml:space="preserve"> и </w:t>
      </w:r>
      <w:hyperlink w:history="0" r:id="rId19"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частью 3 статьи 201</w:t>
        </w:r>
      </w:hyperlink>
      <w:r>
        <w:rPr>
          <w:sz w:val="24"/>
        </w:rPr>
        <w:t xml:space="preserve"> АПК РФ, а также разъяснениями, изложенными в </w:t>
      </w:r>
      <w:hyperlink w:history="0" r:id="rId20" w:tooltip="Постановление Пленума Верховного Суда РФ N 6, Пленума ВАС РФ N 8 от 01.07.1996 (ред. от 25.12.2018) &quot;О некоторых вопросах, связанных с применением части первой Гражданского кодекса Российской Федерации&quot; {КонсультантПлюс}">
        <w:r>
          <w:rPr>
            <w:sz w:val="24"/>
            <w:color w:val="0000ff"/>
          </w:rPr>
          <w:t xml:space="preserve">пункте 6</w:t>
        </w:r>
      </w:hyperlink>
      <w:r>
        <w:rPr>
          <w:sz w:val="24"/>
        </w:rPr>
        <w:t xml:space="preserve"> постановления Пленума Верховного Суда Российской Федерации и Высшего Арбитражного Суда Российской Федерации от 01.07.1996 N 6/8 "О некоторых вопросах, связанных с применением части первой Гражданского кодекса Российской Федерации", ненормативный правовой акт может быть признан недействительным, а решения и действия незаконными при одновременном их несоответствии закону и нарушении прав и законных интересов заявителя в сфере предпринимательской и иной экономической деятельности.</w:t>
      </w:r>
    </w:p>
    <w:p>
      <w:pPr>
        <w:pStyle w:val="0"/>
        <w:spacing w:before="240" w:lineRule="auto"/>
        <w:ind w:firstLine="540"/>
        <w:jc w:val="both"/>
      </w:pPr>
      <w:r>
        <w:rPr>
          <w:sz w:val="24"/>
        </w:rPr>
        <w:t xml:space="preserve">Согласно </w:t>
      </w:r>
      <w:hyperlink w:history="0" r:id="rId2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пункту 1 статьи 54.1</w:t>
        </w:r>
      </w:hyperlink>
      <w:r>
        <w:rPr>
          <w:sz w:val="24"/>
        </w:rPr>
        <w:t xml:space="preserve"> НК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pPr>
        <w:pStyle w:val="0"/>
        <w:spacing w:before="240" w:lineRule="auto"/>
        <w:ind w:firstLine="540"/>
        <w:jc w:val="both"/>
      </w:pPr>
      <w:r>
        <w:rPr>
          <w:sz w:val="24"/>
        </w:rPr>
        <w:t xml:space="preserve">Нормами </w:t>
      </w:r>
      <w:hyperlink w:history="0" r:id="rId2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2 статьи 54.1</w:t>
        </w:r>
      </w:hyperlink>
      <w:r>
        <w:rPr>
          <w:sz w:val="24"/>
        </w:rPr>
        <w:t xml:space="preserve"> НК РФ определены условия, при одновременном соблюдении которых, в случае отсутствия обстоятельств, установленных </w:t>
      </w:r>
      <w:hyperlink w:history="0" r:id="rId2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1 статьи 54.1</w:t>
        </w:r>
      </w:hyperlink>
      <w:r>
        <w:rPr>
          <w:sz w:val="24"/>
        </w:rPr>
        <w:t xml:space="preserve"> НК РФ, налогоплательщик вправе по имевшим место сделкам (операциям) уменьшить налоговую базу и (или) сумму подлежащего уплате налога с правилами соответствующей главы части второй </w:t>
      </w:r>
      <w:hyperlink w:history="0" r:id="rId24"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rPr>
          <w:t xml:space="preserve">НК</w:t>
        </w:r>
      </w:hyperlink>
      <w:r>
        <w:rPr>
          <w:sz w:val="24"/>
        </w:rPr>
        <w:t xml:space="preserve"> РФ.</w:t>
      </w:r>
    </w:p>
    <w:p>
      <w:pPr>
        <w:pStyle w:val="0"/>
        <w:spacing w:before="240" w:lineRule="auto"/>
        <w:ind w:firstLine="540"/>
        <w:jc w:val="both"/>
      </w:pPr>
      <w:r>
        <w:rPr>
          <w:sz w:val="24"/>
        </w:rPr>
        <w:t xml:space="preserve">К таким условиям относятся следующие обстоятельства: основной целью совершения сделки (операции) не являются неуплата (неполная уплата) и (или) зачет (возврат) суммы налога (</w:t>
      </w:r>
      <w:hyperlink w:history="0" r:id="rId2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 1 пункта 2 статьи 54.1</w:t>
        </w:r>
      </w:hyperlink>
      <w:r>
        <w:rPr>
          <w:sz w:val="24"/>
        </w:rPr>
        <w:t xml:space="preserve"> НК РФ);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 (</w:t>
      </w:r>
      <w:hyperlink w:history="0" r:id="rId2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 2 пункта 2 статьи 54.1</w:t>
        </w:r>
      </w:hyperlink>
      <w:r>
        <w:rPr>
          <w:sz w:val="24"/>
        </w:rPr>
        <w:t xml:space="preserve"> НК РФ).</w:t>
      </w:r>
    </w:p>
    <w:p>
      <w:pPr>
        <w:pStyle w:val="0"/>
        <w:spacing w:before="240" w:lineRule="auto"/>
        <w:ind w:firstLine="540"/>
        <w:jc w:val="both"/>
      </w:pPr>
      <w:r>
        <w:rPr>
          <w:sz w:val="24"/>
        </w:rPr>
        <w:t xml:space="preserve">Согласно </w:t>
      </w:r>
      <w:hyperlink w:history="0" r:id="rId27" w:tooltip="Федеральный закон от 06.12.2011 N 402-ФЗ (ред. от 12.12.2023) &quot;О бухгалтерском учете&quot; ------------ Недействующая редакция {КонсультантПлюс}">
        <w:r>
          <w:rPr>
            <w:sz w:val="24"/>
            <w:color w:val="0000ff"/>
          </w:rPr>
          <w:t xml:space="preserve">статье 9</w:t>
        </w:r>
      </w:hyperlink>
      <w:r>
        <w:rPr>
          <w:sz w:val="24"/>
        </w:rPr>
        <w:t xml:space="preserve"> Федерального закона от 06.12.2011 N 402-ФЗ "О бухгалтерском учете" (далее - Закон о бухгалтерском учете) первичные учетные документы принимаются к учету, если они составлены по форме, содержащейся в альбомах унифицированных форм первичной учетной документации, а документы, форма которых не предусмотрена в этих альбомах, должны содержать обязательные реквизиты.</w:t>
      </w:r>
    </w:p>
    <w:p>
      <w:pPr>
        <w:pStyle w:val="0"/>
        <w:spacing w:before="240" w:lineRule="auto"/>
        <w:ind w:firstLine="540"/>
        <w:jc w:val="both"/>
      </w:pPr>
      <w:r>
        <w:rPr>
          <w:sz w:val="24"/>
        </w:rPr>
        <w:t xml:space="preserve">Также положениями </w:t>
      </w:r>
      <w:hyperlink w:history="0" r:id="rId28" w:tooltip="Федеральный закон от 06.12.2011 N 402-ФЗ (ред. от 12.12.2023) &quot;О бухгалтерском учете&quot; ------------ Недействующая редакция {КонсультантПлюс}">
        <w:r>
          <w:rPr>
            <w:sz w:val="24"/>
            <w:color w:val="0000ff"/>
          </w:rPr>
          <w:t xml:space="preserve">Закона</w:t>
        </w:r>
      </w:hyperlink>
      <w:r>
        <w:rPr>
          <w:sz w:val="24"/>
        </w:rPr>
        <w:t xml:space="preserve"> о бухгалтерском учете предусмотрено, что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w:t>
      </w:r>
    </w:p>
    <w:p>
      <w:pPr>
        <w:pStyle w:val="0"/>
        <w:spacing w:before="240" w:lineRule="auto"/>
        <w:ind w:firstLine="540"/>
        <w:jc w:val="both"/>
      </w:pPr>
      <w:r>
        <w:rPr>
          <w:sz w:val="24"/>
        </w:rPr>
        <w:t xml:space="preserve">В соответствии с </w:t>
      </w:r>
      <w:hyperlink w:history="0" r:id="rId2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постановлением</w:t>
        </w:r>
      </w:hyperlink>
      <w:r>
        <w:rPr>
          <w:sz w:val="24"/>
        </w:rPr>
        <w:t xml:space="preserve"> Пленума Высшего Арбитражного Суда Российской Федерации от 12.10.2006 N 53 "Об оценке арбитражными судами обоснованности получения налогоплательщиком налоговой выгоды" (далее - постановление Пленума N 53) суд отказывает в признании обоснованности получения налоговой выгоды, если установит, что главной целью, преследуемой налогоплательщиком, являлось получение дохода исключительно или преимущественно за счет налоговой выгоды в отсутствие намерения осуществлять реальную экономическую деятельность </w:t>
      </w:r>
      <w:hyperlink w:history="0" r:id="rId30"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 9)</w:t>
        </w:r>
      </w:hyperlink>
      <w:r>
        <w:rPr>
          <w:sz w:val="24"/>
        </w:rPr>
        <w:t xml:space="preserve">.</w:t>
      </w:r>
    </w:p>
    <w:p>
      <w:pPr>
        <w:pStyle w:val="0"/>
        <w:spacing w:before="240" w:lineRule="auto"/>
        <w:ind w:firstLine="540"/>
        <w:jc w:val="both"/>
      </w:pPr>
      <w:r>
        <w:rPr>
          <w:sz w:val="24"/>
        </w:rPr>
        <w:t xml:space="preserve">По смыслу данного положения создание налогоплательщиком формального документооборота при фактическом отсутствии тех хозяйственных операций, в отношении которых налогоплательщик претендует на получение налоговой выгоды, безусловно, является основанием для признания такой налоговой выгоды как необоснованной.</w:t>
      </w:r>
    </w:p>
    <w:p>
      <w:pPr>
        <w:pStyle w:val="0"/>
        <w:spacing w:before="240" w:lineRule="auto"/>
        <w:ind w:firstLine="540"/>
        <w:jc w:val="both"/>
      </w:pPr>
      <w:r>
        <w:rPr>
          <w:sz w:val="24"/>
        </w:rPr>
        <w:t xml:space="preserve">В силу </w:t>
      </w:r>
      <w:hyperlink w:history="0" r:id="rId31"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пункта 10</w:t>
        </w:r>
      </w:hyperlink>
      <w:r>
        <w:rPr>
          <w:sz w:val="24"/>
        </w:rPr>
        <w:t xml:space="preserve"> постановления Пленума N 53 факт нарушения контрагентом налогоплательщика своих налоговых обязанностей сам по себе не является доказательством получения налогоплательщиком необоснованной налоговой выгоды. Налоговая выгода может быть признана необоснованной, если налоговым органом будет доказано, что налогоплательщик действовал без должной осмотрительности и осторожности и ему должно было быть известно о нарушениях, допущенных контрагентом, в частности, в силу отношений взаимозависимости или аффилированности налогоплательщика с контрагентом.</w:t>
      </w:r>
    </w:p>
    <w:p>
      <w:pPr>
        <w:pStyle w:val="0"/>
        <w:spacing w:before="240" w:lineRule="auto"/>
        <w:ind w:firstLine="540"/>
        <w:jc w:val="both"/>
      </w:pPr>
      <w:r>
        <w:rPr>
          <w:sz w:val="24"/>
        </w:rPr>
        <w:t xml:space="preserve">Как следует из материалов дела и подтверждено судами, основанием для доначисления указанных сумм налогов в части эпизодов нарушения </w:t>
      </w:r>
      <w:hyperlink w:history="0" r:id="rId3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1 статьи 54.1</w:t>
        </w:r>
      </w:hyperlink>
      <w:r>
        <w:rPr>
          <w:sz w:val="24"/>
        </w:rPr>
        <w:t xml:space="preserve"> НК РФ, послужил вывод налогового органа о нарушении проверяемым налогоплательщиком положений </w:t>
      </w:r>
      <w:hyperlink w:history="0" r:id="rId3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статьи 54.1</w:t>
        </w:r>
      </w:hyperlink>
      <w:r>
        <w:rPr>
          <w:sz w:val="24"/>
        </w:rPr>
        <w:t xml:space="preserve">, </w:t>
      </w:r>
      <w:hyperlink w:history="0" r:id="rId34"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rPr>
          <w:t xml:space="preserve">статьи 169</w:t>
        </w:r>
      </w:hyperlink>
      <w:r>
        <w:rPr>
          <w:sz w:val="24"/>
        </w:rPr>
        <w:t xml:space="preserve">, </w:t>
      </w:r>
      <w:hyperlink w:history="0" r:id="rId35"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rPr>
          <w:t xml:space="preserve">пункта 1 статьи 171</w:t>
        </w:r>
      </w:hyperlink>
      <w:r>
        <w:rPr>
          <w:sz w:val="24"/>
        </w:rPr>
        <w:t xml:space="preserve">, </w:t>
      </w:r>
      <w:hyperlink w:history="0" r:id="rId36"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rPr>
          <w:t xml:space="preserve">пункта 1 статьи 172</w:t>
        </w:r>
      </w:hyperlink>
      <w:r>
        <w:rPr>
          <w:sz w:val="24"/>
        </w:rPr>
        <w:t xml:space="preserve">, </w:t>
      </w:r>
      <w:hyperlink w:history="0" r:id="rId37"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rPr>
          <w:t xml:space="preserve">252</w:t>
        </w:r>
      </w:hyperlink>
      <w:r>
        <w:rPr>
          <w:sz w:val="24"/>
        </w:rPr>
        <w:t xml:space="preserve"> НК РФ, выразившимся в оформлении формальных сделок с контрагентами ООО "Статус", ООО Строительная компания "Основание", ООО "Каскад", ООО "Сигма", ООО "Трансопт", ООО "Авангард", ООО "Афон", ООО "Бастерр", ООО "Бастион", ООО "Диамант", ООО Компания "Малахит", ООО "Продоптторг", ООО "Решение", ООО "Родис", ООО "Строительная компания "Кристалл", ООО "Сокол", ООО "Спецгарант", ООО Торгово-производственная компания "Урожай", ООО "Форестгрупп", ООО "Дельта", ООО "СТК Сфера", ООО "Гелион Групп", ООО "Интехпром", ООО "Оптимальный элемент", ООО "СК Гросс", ООО "Модерн", ООО "Стройкомплектация".</w:t>
      </w:r>
    </w:p>
    <w:p>
      <w:pPr>
        <w:pStyle w:val="0"/>
        <w:spacing w:before="240" w:lineRule="auto"/>
        <w:ind w:firstLine="540"/>
        <w:jc w:val="both"/>
      </w:pPr>
      <w:r>
        <w:rPr>
          <w:sz w:val="24"/>
        </w:rPr>
        <w:t xml:space="preserve">В проверяемом периоде основным заказчиком для ООО "Север-Строй" являлось ООО "Газпром трансгаз Югорск" (средняя доля продаж за 2018 год составила 91.38%, за 2019 год составила 96.74%).</w:t>
      </w:r>
    </w:p>
    <w:p>
      <w:pPr>
        <w:pStyle w:val="0"/>
        <w:spacing w:before="240" w:lineRule="auto"/>
        <w:ind w:firstLine="540"/>
        <w:jc w:val="both"/>
      </w:pPr>
      <w:r>
        <w:rPr>
          <w:sz w:val="24"/>
        </w:rPr>
        <w:t xml:space="preserve">Согласно материалам проверки объектами ООО "Газпром трансгаз Югорск" являлись: - Октябрьское ЛПУ МП Ямбург-Западная граница. Км869-883 р/н через пр. Алешкинская (р. Обь) Русловыпрямительные работы, противоэрозийные мероприятия (подразделение - ГПО Октябрьское ЛПУМГ); - Октябрьское ЛПУ МГ Ямбург-Тула 1, основная нитка подводного перехода через пр. Алешкинская (р. Обь) Ду 1220 мм, ремонтируемый участок 882,88-883,58 км (подразделение - ГПО Октябрьское ЛПУМГ), - Перегребненское ЛПУ МГ Уренгой-Петровск. Инв.N 180 Верхняя резервная нитка подводного перехода через р. Обь, Ду 1000 мм, км 732-745 (подразделение - ГПО Перегребненское ЛПУ), - Г-д Надым-Пунга 1569,1 км 0-211,2 км; 258,96 - 529,9 км (подразделение - ГТЮ Надымское ЛПУМГ), - Г-д Надым-Пунга 2173,6 км 0 - 170 км (подразделение - ГТЮ Надымское ЛПУМГ).</w:t>
      </w:r>
    </w:p>
    <w:p>
      <w:pPr>
        <w:pStyle w:val="0"/>
        <w:spacing w:before="240" w:lineRule="auto"/>
        <w:ind w:firstLine="540"/>
        <w:jc w:val="both"/>
      </w:pPr>
      <w:r>
        <w:rPr>
          <w:sz w:val="24"/>
        </w:rPr>
        <w:t xml:space="preserve">По условиями договоров с ООО "Газпром трансгаз Югорск", работы выполняются с использованием материально-технических ресурсов и оборудования (МТР) поставки заказчика, которые передаются Подрядчику на давальческой основе по накладной на отпуск материалов на сторону по </w:t>
      </w:r>
      <w:hyperlink w:history="0" r:id="rId38" w:tooltip="Постановление Госкомстата РФ от 30.10.1997 N 71а (ред. от 21.01.2003) &quot;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quot; {КонсультантПлюс}">
        <w:r>
          <w:rPr>
            <w:sz w:val="24"/>
            <w:color w:val="0000ff"/>
          </w:rPr>
          <w:t xml:space="preserve">форме N М-15</w:t>
        </w:r>
      </w:hyperlink>
      <w:r>
        <w:rPr>
          <w:sz w:val="24"/>
        </w:rPr>
        <w:t xml:space="preserve">, так и МТР Подрядчика, которые приобретаются им у иных поставщиков по стоимости, утвержденной подрядчиком в составе ПД (СД).</w:t>
      </w:r>
    </w:p>
    <w:p>
      <w:pPr>
        <w:pStyle w:val="0"/>
        <w:spacing w:before="240" w:lineRule="auto"/>
        <w:ind w:firstLine="540"/>
        <w:jc w:val="both"/>
      </w:pPr>
      <w:r>
        <w:rPr>
          <w:sz w:val="24"/>
        </w:rPr>
        <w:t xml:space="preserve">Приходя к выводу об отсутствии фактов реальных поставок товаров и предоставления в аренду спецтехники (оборудования, механизмов) оспариваемыми контрагентами, то есть о нереальности исполнения ими условий договоров с обществом, налоговый орган основывался на следующих обстоятельствах: у проблемных контрагентов отсутствовали транспортные средства на балансе организации (согласно договорам от 25.05.2018 с ООО "Бастион", N 225/19 от 14.01.2019 с ООО "Афон", N 213 от 12.07.2018 с ООО "СК Гросс", N 221/19 от 07.07.2019 с ООО "Дельта" доставка осуществлялась силами, средствами и за счет поставщика любым транспортом); директора ООО "Бастерр", ООО "Оптимальный Элемент", ООО "Дельта" являются номинальными; ООО "Газпром трансгаз Югорск" пояснил, что информацией по проблемным контрагентам не располагает; информацией о поставщиках МТР подрядчика заказчик не владеет; в ходе проверки налоговым органом установлены реальные контрагенты по поставке аналогичных товаров: ООО "УПБ Приобье", АО "Амира", ООО "Уралстройснаб", ИП Шматок В.В., ООО "УПБ Приобье", ООО "Уралстройснаб", ИП Шматок В.В., ИП Буторина С.Г., ЗАО "Центр специальных инженерных сооружений НИИКРИТ", ИП Амирханов Ф.А., а также реальные арендодатели техники (индивидуальные предприниматели).</w:t>
      </w:r>
    </w:p>
    <w:p>
      <w:pPr>
        <w:pStyle w:val="0"/>
        <w:spacing w:before="240" w:lineRule="auto"/>
        <w:ind w:firstLine="540"/>
        <w:jc w:val="both"/>
      </w:pPr>
      <w:r>
        <w:rPr>
          <w:sz w:val="24"/>
        </w:rPr>
        <w:t xml:space="preserve">Контрагенты ООО "УПБ Приобье", АО "Амира", ООО "Уралстройснаб, ИП Шматок В.В. ИП Бугорина С.Г., ЗАО "Центр специальных инженерных сооружений НИИКРИТ" Амирханов Ф.А. относятся к реальному сектору экономики, документы содержат все необходимые реквизиты (данные), что соответствует установленным стандартам оформления документов в отличие от документов, оформленных с "проблемными" контрагентами.</w:t>
      </w:r>
    </w:p>
    <w:p>
      <w:pPr>
        <w:pStyle w:val="0"/>
        <w:spacing w:before="240" w:lineRule="auto"/>
        <w:ind w:firstLine="540"/>
        <w:jc w:val="both"/>
      </w:pPr>
      <w:r>
        <w:rPr>
          <w:sz w:val="24"/>
        </w:rPr>
        <w:t xml:space="preserve">Налоговым органом в отношении поставщиков горюче-смазочных материалов (далее - ГСМ), дизельного топлива и нефтепродуктов установлено, что в проверяемом периоде обществом заключены договора с реальными поставщиками дизельного топлива, ГСМ: ООО "Таиф-НК АЗС", ПАО "ЮС Роснефть-Ямалнефтепродукт", ООО "Автогазсервис", ООО "Волгаснаб", ООО "Эллиа".</w:t>
      </w:r>
    </w:p>
    <w:p>
      <w:pPr>
        <w:pStyle w:val="0"/>
        <w:spacing w:before="240" w:lineRule="auto"/>
        <w:ind w:firstLine="540"/>
        <w:jc w:val="both"/>
      </w:pPr>
      <w:r>
        <w:rPr>
          <w:sz w:val="24"/>
        </w:rPr>
        <w:t xml:space="preserve">Также, установлен реальный перевозчик дизельного топлива ЕВРО зимнее класса 2 экологического класса К5 (ДТ-З-К5) ИП Нигашев Р.Ш. В ответ на поручение об истребовании документов (информации) Нагишевым Р.Ш. представлены документы, подтверждающее перевозку товара от грузоотправителя ООО "ЭЛЛИА": 628186 г. Нягань, ПТАО - Югра ул. Транспортная, 15. Нигашев Р.Ш. имел свидетельство ДОПОГ о подготовке водителя, выданный РОСТРАНСНАДЗОР. В документах указаны технические параметры дизельного топлива, а именно масса, плотность и температура.</w:t>
      </w:r>
    </w:p>
    <w:p>
      <w:pPr>
        <w:pStyle w:val="0"/>
        <w:spacing w:before="240" w:lineRule="auto"/>
        <w:ind w:firstLine="540"/>
        <w:jc w:val="both"/>
      </w:pPr>
      <w:r>
        <w:rPr>
          <w:sz w:val="24"/>
        </w:rPr>
        <w:t xml:space="preserve">Настаивая на своей позиции о нереальности исполнения спорными контрагентами условий договоров с ООО "Север-Строй", налоговый орган ссылается на анализ расчетного счета ООО "Север-Строй" и "проблемных" организаций.</w:t>
      </w:r>
    </w:p>
    <w:p>
      <w:pPr>
        <w:pStyle w:val="0"/>
        <w:spacing w:before="240" w:lineRule="auto"/>
        <w:ind w:firstLine="540"/>
        <w:jc w:val="both"/>
      </w:pPr>
      <w:r>
        <w:rPr>
          <w:sz w:val="24"/>
        </w:rPr>
        <w:t xml:space="preserve">Отклоняя указанный довод, суды отметили, что налогоплательщик не имеет отношения к движению денежных средств по счетам контрагента и субконтрагентов, если налоговым органом не доказано обратное (</w:t>
      </w:r>
      <w:hyperlink w:history="0" r:id="rId39" w:tooltip="Определение Судебной коллегии по экономическим спорам Верховного Суда РФ от 29.11.2016 N 305-КГ16-10399 по делу N А40-71125/2015 Требование: Об оспаривании решения налогового органа о привлечении к ответственности за совершение налогового правонарушения, нарушение требований об уплате налога, сбора, пени, штрафа, процентов. Обстоятельства: Оспариваемым решением обществу доначислены налоги, пени, штраф в связи с получением необоснованной налоговой выгоды по операциям приобретения угля у контрагента. Решение: {КонсультантПлюс}">
        <w:r>
          <w:rPr>
            <w:sz w:val="24"/>
            <w:color w:val="0000ff"/>
          </w:rPr>
          <w:t xml:space="preserve">определение</w:t>
        </w:r>
      </w:hyperlink>
      <w:r>
        <w:rPr>
          <w:sz w:val="24"/>
        </w:rPr>
        <w:t xml:space="preserve"> Судебной коллегии по экономическим спорам Верховного Суда Российской Федерации от 29.11.2016 N 305-КГ16-10399).</w:t>
      </w:r>
    </w:p>
    <w:p>
      <w:pPr>
        <w:pStyle w:val="0"/>
        <w:spacing w:before="240" w:lineRule="auto"/>
        <w:ind w:firstLine="540"/>
        <w:jc w:val="both"/>
      </w:pPr>
      <w:r>
        <w:rPr>
          <w:sz w:val="24"/>
        </w:rPr>
        <w:t xml:space="preserve">Кроме того, инспекция указала, что не со всеми контрагентами произведен расчет в полном объеме.</w:t>
      </w:r>
    </w:p>
    <w:p>
      <w:pPr>
        <w:pStyle w:val="0"/>
        <w:spacing w:before="240" w:lineRule="auto"/>
        <w:ind w:firstLine="540"/>
        <w:jc w:val="both"/>
      </w:pPr>
      <w:r>
        <w:rPr>
          <w:sz w:val="24"/>
        </w:rPr>
        <w:t xml:space="preserve">Между тем, для подтверждения факта отсутствия расчетов недостаточно провести анализ движения денежных средств по расчетным счетам, так как оплата этих расходов может производиться из кассы предприятия, путем взаимозачетов, по акту приемки-передачи векселя и другими, не запрещенными гражданским законодательством Российской Федерации, способами; вышеперечисленные расходы могли иметь место, но не быть оплаченными, таким образом, у предприятия сформировалась кредиторская задолженность. При этом по некоторым из контрагентов задолженность в проверяемый налоговый период была погашена.</w:t>
      </w:r>
    </w:p>
    <w:p>
      <w:pPr>
        <w:pStyle w:val="0"/>
        <w:spacing w:before="240" w:lineRule="auto"/>
        <w:ind w:firstLine="540"/>
        <w:jc w:val="both"/>
      </w:pPr>
      <w:r>
        <w:rPr>
          <w:sz w:val="24"/>
          <w:highlight w:val="yellow"/>
        </w:rPr>
        <w:t xml:space="preserve">Само по себе неперечисление контрагентам денежных средств не может являться основанием для отказа налоговым органом в вычете по НДС, так как положения </w:t>
      </w:r>
      <w:hyperlink w:history="0" r:id="rId40"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highlight w:val="yellow"/>
          </w:rPr>
          <w:t xml:space="preserve">статей 171</w:t>
        </w:r>
      </w:hyperlink>
      <w:r>
        <w:rPr>
          <w:sz w:val="24"/>
          <w:highlight w:val="yellow"/>
        </w:rPr>
        <w:t xml:space="preserve">, </w:t>
      </w:r>
      <w:hyperlink w:history="0" r:id="rId41" w:tooltip="&quot;Налоговый кодекс Российской Федерации (часть вторая)&quot; от 05.08.2000 N 117-ФЗ (ред. от 22.04.2024) (с изм. и доп., вступ. в силу с 23.04.2024) ------------ Недействующая редакция {КонсультантПлюс}">
        <w:r>
          <w:rPr>
            <w:sz w:val="24"/>
            <w:color w:val="0000ff"/>
            <w:highlight w:val="yellow"/>
          </w:rPr>
          <w:t xml:space="preserve">172</w:t>
        </w:r>
      </w:hyperlink>
      <w:r>
        <w:rPr>
          <w:sz w:val="24"/>
          <w:highlight w:val="yellow"/>
        </w:rPr>
        <w:t xml:space="preserve"> НК РФ не связывают право на налоговый вычет по НДС с оплатой товаров, услуг.</w:t>
      </w:r>
    </w:p>
    <w:p>
      <w:pPr>
        <w:pStyle w:val="0"/>
        <w:spacing w:before="240" w:lineRule="auto"/>
        <w:ind w:firstLine="540"/>
        <w:jc w:val="both"/>
      </w:pPr>
      <w:r>
        <w:rPr>
          <w:sz w:val="24"/>
          <w:highlight w:val="yellow"/>
        </w:rPr>
        <w:t xml:space="preserve">ООО "Север-Строй" подтвердило реальность сделок и длительные хозяйственные связи с контрагентами, сослалось на факт того, что оно представило все документы, подтверждающие право на применение налоговых вычетов по НДС и учета расходов по налогу на прибыль. Доказательств того, что сведения, содержащиеся в первичных документах, неполны, недостоверны или противоречивы, налоговым органом не представлено. Налоговый орган также не представил доказательств согласованности действий общества и его контрагентов, получение дохода исключительно или преимущественно за счет налоговой выгоды.</w:t>
      </w:r>
    </w:p>
    <w:p>
      <w:pPr>
        <w:pStyle w:val="0"/>
        <w:spacing w:before="240" w:lineRule="auto"/>
        <w:ind w:firstLine="540"/>
        <w:jc w:val="both"/>
      </w:pPr>
      <w:r>
        <w:rPr>
          <w:sz w:val="24"/>
        </w:rPr>
        <w:t xml:space="preserve">Как указал налогоплательщик, налоговым органом не установлено недостоверности сведений в представленных счетах-фактурах и первичных документах, выполнение работ привлеченными организациями подтверждается договорами, дополнительными соглашениями, актами выполненных работ, счетами-фактурами.</w:t>
      </w:r>
    </w:p>
    <w:p>
      <w:pPr>
        <w:pStyle w:val="0"/>
        <w:spacing w:before="240" w:lineRule="auto"/>
        <w:ind w:firstLine="540"/>
        <w:jc w:val="both"/>
      </w:pPr>
      <w:r>
        <w:rPr>
          <w:sz w:val="24"/>
        </w:rPr>
        <w:t xml:space="preserve">Судами установлено, что обществом при учете расходов по взаимоотношениям со спорными контрагентами соблюдены критерии документальной подтвержденности, экономической обоснованности и фактическое осуществление расходов: все расходы общества оформлены надлежащими первичными документами, соответствующими требованиям Федерального </w:t>
      </w:r>
      <w:hyperlink w:history="0" r:id="rId42" w:tooltip="Федеральный закон от 06.12.2011 N 402-ФЗ (ред. от 12.12.2023) &quot;О бухгалтерском учете&quot; ------------ Недействующая редакция {КонсультантПлюс}">
        <w:r>
          <w:rPr>
            <w:sz w:val="24"/>
            <w:color w:val="0000ff"/>
          </w:rPr>
          <w:t xml:space="preserve">закона</w:t>
        </w:r>
      </w:hyperlink>
      <w:r>
        <w:rPr>
          <w:sz w:val="24"/>
        </w:rPr>
        <w:t xml:space="preserve"> от 06.12.2011 N 402-ФЗ "О бухгалтерском учете", а также документами, составленными в соответствии с требованиями </w:t>
      </w:r>
      <w:hyperlink w:history="0" r:id="rId4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НК</w:t>
        </w:r>
      </w:hyperlink>
      <w:r>
        <w:rPr>
          <w:sz w:val="24"/>
        </w:rPr>
        <w:t xml:space="preserve"> РФ. Замечаний к составу и оформлению документов в оспариваемом решении не содержится.</w:t>
      </w:r>
    </w:p>
    <w:p>
      <w:pPr>
        <w:pStyle w:val="0"/>
        <w:spacing w:before="240" w:lineRule="auto"/>
        <w:ind w:firstLine="540"/>
        <w:jc w:val="both"/>
      </w:pPr>
      <w:r>
        <w:rPr>
          <w:sz w:val="24"/>
        </w:rPr>
        <w:t xml:space="preserve">Указанные расходы произведены обществом во исполнение контрактов с заказчиками, то есть для осуществления деятельности, направленной на получение дохода, что также не оспаривается налоговым органом; расходы обществом фактически осуществлены, что подтверждается материалами проверки, в том числе документами, представленными налогоплательщиком совместно с возражениями на акт проверки и материалы дополнительных мероприятий налогового контроля.</w:t>
      </w:r>
    </w:p>
    <w:p>
      <w:pPr>
        <w:pStyle w:val="0"/>
        <w:spacing w:before="240" w:lineRule="auto"/>
        <w:ind w:firstLine="540"/>
        <w:jc w:val="both"/>
      </w:pPr>
      <w:r>
        <w:rPr>
          <w:sz w:val="24"/>
        </w:rPr>
        <w:t xml:space="preserve">Таким образом, затраты общества по оплате работ (услуг), оказываемых спорными контрагентами, соответствуют всем предусмотренным </w:t>
      </w:r>
      <w:hyperlink w:history="0" r:id="rId4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НК</w:t>
        </w:r>
      </w:hyperlink>
      <w:r>
        <w:rPr>
          <w:sz w:val="24"/>
        </w:rPr>
        <w:t xml:space="preserve"> РФ критериям в целях их включения в состав расходов по налогу на прибыль организаций.</w:t>
      </w:r>
    </w:p>
    <w:p>
      <w:pPr>
        <w:pStyle w:val="0"/>
        <w:spacing w:before="240" w:lineRule="auto"/>
        <w:ind w:firstLine="540"/>
        <w:jc w:val="both"/>
      </w:pPr>
      <w:r>
        <w:rPr>
          <w:sz w:val="24"/>
        </w:rPr>
        <w:t xml:space="preserve">Данные выводы поддержаны судами первой и апелляционной инстанции.</w:t>
      </w:r>
    </w:p>
    <w:p>
      <w:pPr>
        <w:pStyle w:val="0"/>
        <w:spacing w:before="240" w:lineRule="auto"/>
        <w:ind w:firstLine="540"/>
        <w:jc w:val="both"/>
      </w:pPr>
      <w:r>
        <w:rPr>
          <w:sz w:val="24"/>
        </w:rPr>
        <w:t xml:space="preserve">Налоговый орган полагает, что материалами выездной налоговой проверки подтверждается умышленное искажение сведений о фактах хозяйственной жизни и об объектах налогообложения, подлежащих отражению в бухгалтерском и налоговом учете.</w:t>
      </w:r>
    </w:p>
    <w:p>
      <w:pPr>
        <w:pStyle w:val="0"/>
        <w:spacing w:before="240" w:lineRule="auto"/>
        <w:ind w:firstLine="540"/>
        <w:jc w:val="both"/>
      </w:pPr>
      <w:r>
        <w:rPr>
          <w:sz w:val="24"/>
        </w:rPr>
        <w:t xml:space="preserve">При этом в Акте выездной налоговой проверки и в решении не указано в действиях какого именно должностного лица налогоплательщика установлена вина в совершении налогового правонарушения, ответственность за совершение которого предусмотрена </w:t>
      </w:r>
      <w:hyperlink w:history="0" r:id="rId4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3 статьи 122</w:t>
        </w:r>
      </w:hyperlink>
      <w:r>
        <w:rPr>
          <w:sz w:val="24"/>
        </w:rPr>
        <w:t xml:space="preserve"> НК РФ и в чем конкретно она выражена.</w:t>
      </w:r>
    </w:p>
    <w:p>
      <w:pPr>
        <w:pStyle w:val="0"/>
        <w:spacing w:before="240" w:lineRule="auto"/>
        <w:ind w:firstLine="540"/>
        <w:jc w:val="both"/>
      </w:pPr>
      <w:r>
        <w:rPr>
          <w:sz w:val="24"/>
        </w:rPr>
        <w:t xml:space="preserve">Делая вывод об отсутствии работников у спорных контрагентов, инспекция основывается лишь на сведениях о среднесписочной численности, предоставляемых организациями в налоговые органы.</w:t>
      </w:r>
    </w:p>
    <w:p>
      <w:pPr>
        <w:pStyle w:val="0"/>
        <w:spacing w:before="240" w:lineRule="auto"/>
        <w:ind w:firstLine="540"/>
        <w:jc w:val="both"/>
      </w:pPr>
      <w:r>
        <w:rPr>
          <w:sz w:val="24"/>
        </w:rPr>
        <w:t xml:space="preserve">Как указали суды, за достоверность данных сведений несет ответственность непосредственно юридическое лицо, их предоставляющее. Подача указанными контрагентами недостоверных сведений в налоговые органы влечет негативные последствия и налоговую ответственность именно для самих контрагентов. Кроме того, контрагенты могли неправомерно не отразить в своих налоговых декларациях наличие штата сотрудников и имущества с целью ухода от уплаты "зарплатных" налогов и налога на имущество, что никаким образом не может являться основанием для признания налоговой выгоды общества необоснованной.</w:t>
      </w:r>
    </w:p>
    <w:p>
      <w:pPr>
        <w:pStyle w:val="0"/>
        <w:spacing w:before="240" w:lineRule="auto"/>
        <w:ind w:firstLine="540"/>
        <w:jc w:val="both"/>
      </w:pPr>
      <w:r>
        <w:rPr>
          <w:sz w:val="24"/>
        </w:rPr>
        <w:t xml:space="preserve">Налоговым органом не учтено, что отсутствие у контрагентов материальных и трудовых ресурсов не исключает реального осуществления ими хозяйственных операций, и не свидетельствует о получении необоснованной налоговой выгоды ввиду возможности привлечения контрагентами физических лиц к осуществлению какой-либо деятельности по договорам гражданско-правового характера, привлечения материально-технических ресурсов на условиях договора аренды.</w:t>
      </w:r>
    </w:p>
    <w:p>
      <w:pPr>
        <w:pStyle w:val="0"/>
        <w:spacing w:before="240" w:lineRule="auto"/>
        <w:ind w:firstLine="540"/>
        <w:jc w:val="both"/>
      </w:pPr>
      <w:r>
        <w:rPr>
          <w:sz w:val="24"/>
        </w:rPr>
        <w:t xml:space="preserve">Отсутствие работников у контрагента само по себе не является признаком недобросовестности, поскольку закон не обязывает организацию иметь собственные основные средства и штат работников при осуществлении хозяйственной деятельности. Если у контрагента нет имущества, это не означает, что он не может вести деятельность (</w:t>
      </w:r>
      <w:hyperlink w:history="0" r:id="rId46" w:tooltip="Определение Судебной коллегии по экономическим спорам Верховного Суда РФ от 29.11.2016 N 305-КГ16-10399 по делу N А40-71125/2015 Требование: Об оспаривании решения налогового органа о привлечении к ответственности за совершение налогового правонарушения, нарушение требований об уплате налога, сбора, пени, штрафа, процентов. Обстоятельства: Оспариваемым решением обществу доначислены налоги, пени, штраф в связи с получением необоснованной налоговой выгоды по операциям приобретения угля у контрагента. Решение: {КонсультантПлюс}">
        <w:r>
          <w:rPr>
            <w:sz w:val="24"/>
            <w:color w:val="0000ff"/>
          </w:rPr>
          <w:t xml:space="preserve">определение</w:t>
        </w:r>
      </w:hyperlink>
      <w:r>
        <w:rPr>
          <w:sz w:val="24"/>
        </w:rPr>
        <w:t xml:space="preserve"> Судебной коллегии по экономическим спорам Верховного Суда Российской Федерации от 29.11.2016 N 305-КГ16-10399).</w:t>
      </w:r>
    </w:p>
    <w:p>
      <w:pPr>
        <w:pStyle w:val="0"/>
        <w:spacing w:before="240" w:lineRule="auto"/>
        <w:ind w:firstLine="540"/>
        <w:jc w:val="both"/>
      </w:pPr>
      <w:r>
        <w:rPr>
          <w:sz w:val="24"/>
        </w:rPr>
        <w:t xml:space="preserve">Выводы налогового органа основываются только на предположениях о достаточности количества персонала самого заявителя. Анализ же, проведенный заявителем показал, что в решении налогового органа сделаны неверные, ничем не подтвержденные выводы, не основанные на той нормативно-правовой документации, на которой необходимо было анализировать вопрос об отсутствии производственной необходимости и о достаточности персонала для выполнения заявленного объема работ в срок, установленный в контрактах. При этом, самим заявителем проанализированы акты выполненных работ, составленные между налогоплательщиком и заказчиками, а также акты выполненных работ, составленные между налогоплательщиком и субподрядчиками на предмет соотнесения установленных в них трудозатрат со штатным расписанием ООО "Север-Строй" и объемом трудозатрат согласно табелям учета рабочего времени, для ответа на вопрос достаточности персонала ООО "Север-Строй" для выполнения заявленного объема работ в рамках договоров с заказчиками.</w:t>
      </w:r>
    </w:p>
    <w:p>
      <w:pPr>
        <w:pStyle w:val="0"/>
        <w:spacing w:before="240" w:lineRule="auto"/>
        <w:ind w:firstLine="540"/>
        <w:jc w:val="both"/>
      </w:pPr>
      <w:r>
        <w:rPr>
          <w:sz w:val="24"/>
        </w:rPr>
        <w:t xml:space="preserve">Суды отметили, что расчет трудозатрат, приведенный в оспариваемом решении, не может быть признан безусловно достоверным и сам по себе не способен явиться достаточным доказательством, подтверждающим доводы налогового органа о выполнении работ налогоплательщиком самостоятельно без участия спорных контрагентов.</w:t>
      </w:r>
    </w:p>
    <w:p>
      <w:pPr>
        <w:pStyle w:val="0"/>
        <w:spacing w:before="240" w:lineRule="auto"/>
        <w:ind w:firstLine="540"/>
        <w:jc w:val="both"/>
      </w:pPr>
      <w:r>
        <w:rPr>
          <w:sz w:val="24"/>
        </w:rPr>
        <w:t xml:space="preserve">Оспаривая решение инспекции, ООО "Север-Строй" ссылается на тот факт, что налоговым органом не проведен надлежащий анализ первичных документов, оформленных обществом документов и полученных в ходе проверки сведений и документов от заказчика ООО "Газпром трансгаз Югорск" о выполненных работах, включая проектно-сметную документацию и акты выполненных работ на объектах, который бы подтверждал вывод о достаточном количестве поставленных товарно-материальных ценностей и выполненных работ (оказанных услуг) налогоплательщиками, к которым по результатам проведенной выездной налоговой проверки претензии у налогового органа отсутствуют.</w:t>
      </w:r>
    </w:p>
    <w:p>
      <w:pPr>
        <w:pStyle w:val="0"/>
        <w:spacing w:before="240" w:lineRule="auto"/>
        <w:ind w:firstLine="540"/>
        <w:jc w:val="both"/>
      </w:pPr>
      <w:r>
        <w:rPr>
          <w:sz w:val="24"/>
        </w:rPr>
        <w:t xml:space="preserve">Судами установлено, что в обжалуемом решении (стр. 1227-1229) налоговый орган приводит перечень контрагентов, которые по утверждению налогового органа осуществляли реальные поставки и оказывали услуги обществу вместо спорных контрагентов. Вместе с тем, изложенные в данной таблице сведения не содержат таких данных, как: период поставки; количество поставленных товарно-материальных ценностей; объект, на который производилась поставка, сопоставление номенклатуры товаров. Кроме того, в обжалуемом решении полностью отсутствует анализ поставок осуществленных оспариваемыми контрагентами: ООО "Дельта" - грунт привозной 1 категории, ООО "Каскад" - бетон М-200, ООО "Сигма" - грунт привозной 1 категории, ООО "СТК СтройКомплектация" - трубы стальные.</w:t>
      </w:r>
    </w:p>
    <w:p>
      <w:pPr>
        <w:pStyle w:val="0"/>
        <w:spacing w:before="240" w:lineRule="auto"/>
        <w:ind w:firstLine="540"/>
        <w:jc w:val="both"/>
      </w:pPr>
      <w:r>
        <w:rPr>
          <w:sz w:val="24"/>
        </w:rPr>
        <w:t xml:space="preserve">Фактически налоговый органом выборочно провел анализ товарно-материальных ценностей, поставленных оспариваемыми контрагентами.</w:t>
      </w:r>
    </w:p>
    <w:p>
      <w:pPr>
        <w:pStyle w:val="0"/>
        <w:spacing w:before="240" w:lineRule="auto"/>
        <w:ind w:firstLine="540"/>
        <w:jc w:val="both"/>
      </w:pPr>
      <w:r>
        <w:rPr>
          <w:sz w:val="24"/>
        </w:rPr>
        <w:t xml:space="preserve">Так, в обжалуемом решении (стр. 1232) налоговый орган указывает спорных контрагентов, осуществивших поставки горюче-смазочных материалов и иных поставщиков (стр. 1233), которые, по мнению налогового органа, относятся к реальным поставщикам. При этом отсутствует какой-либо анализ и ссылки на документальные доказательства, подтверждающие вывод налогового органа о том, на какие именно объекты и в какой период времени осуществлялись поставки, как оспариваемыми контрагентами, так и реальными контрагентами.</w:t>
      </w:r>
    </w:p>
    <w:p>
      <w:pPr>
        <w:pStyle w:val="0"/>
        <w:spacing w:before="240" w:lineRule="auto"/>
        <w:ind w:firstLine="540"/>
        <w:jc w:val="both"/>
      </w:pPr>
      <w:r>
        <w:rPr>
          <w:sz w:val="24"/>
        </w:rPr>
        <w:t xml:space="preserve">В ходе проверки инспекцией не дано надлежащей оценки пояснениям ООО "Север-Строй", что объекты капитального ремонта подводных переходов являются технически сложными и опасными. На объектах согласно проекту задействовано значительное количество техники, которую требуется регулярно заправлять. Часть техники непосредственно работает, часть техники является страховочной и есть техника, которая задействуется в случае ремонта основной и страховочной техники, так как процесс работы является непрерывным и особо опасным.</w:t>
      </w:r>
    </w:p>
    <w:p>
      <w:pPr>
        <w:pStyle w:val="0"/>
        <w:spacing w:before="240" w:lineRule="auto"/>
        <w:ind w:firstLine="540"/>
        <w:jc w:val="both"/>
      </w:pPr>
      <w:r>
        <w:rPr>
          <w:sz w:val="24"/>
        </w:rPr>
        <w:t xml:space="preserve">При этом, наличие на объектах значительного количества техники, а также непрерывные поставки горюче-смазочных материалов подтверждены свидетельскими показаниями сотрудников ООО "Север-Строй" Малихова И.А. в протоколе допроса от 27.04.2023N 247, Мотко А.А. в протоколе допроса от 15.05.2023 N 110 и Данилина А.И. в протоколе допроса от 27.04.2023 N 248.</w:t>
      </w:r>
    </w:p>
    <w:p>
      <w:pPr>
        <w:pStyle w:val="0"/>
        <w:spacing w:before="240" w:lineRule="auto"/>
        <w:ind w:firstLine="540"/>
        <w:jc w:val="both"/>
      </w:pPr>
      <w:r>
        <w:rPr>
          <w:sz w:val="24"/>
        </w:rPr>
        <w:t xml:space="preserve">Делая вывод об отсутствии реальных финансово-хозяйственных взаимоотношений с оспариваемыми контрагентами, налоговым органом достоверно не установлены на каких именно объектах и в какой именно период времени задействована арендованная у оспариваемых контрагентов техника, при этом не приведено доказательств, что общество располагало достаточным количеством техники, без необходимости привлекать оспариваемых контрагентов, исходя из количества отработанных машино-часов, в том числе, отраженных в проектной документации.</w:t>
      </w:r>
    </w:p>
    <w:p>
      <w:pPr>
        <w:pStyle w:val="0"/>
        <w:spacing w:before="240" w:lineRule="auto"/>
        <w:ind w:firstLine="540"/>
        <w:jc w:val="both"/>
      </w:pPr>
      <w:r>
        <w:rPr>
          <w:sz w:val="24"/>
        </w:rPr>
        <w:t xml:space="preserve">Налоговым органом не проведен анализ проектной и исполнительной документации, который подтверждает вывод о достаточном количестве поставленных товарно-материальных ценностей и выполненных работ (оказанных услуг) налогоплательщиками, к которым по результатам проведенной выездной налоговой проверки претензии у Инспекции отсутствуют.</w:t>
      </w:r>
    </w:p>
    <w:p>
      <w:pPr>
        <w:pStyle w:val="0"/>
        <w:spacing w:before="240" w:lineRule="auto"/>
        <w:ind w:firstLine="540"/>
        <w:jc w:val="both"/>
      </w:pPr>
      <w:r>
        <w:rPr>
          <w:sz w:val="24"/>
        </w:rPr>
        <w:t xml:space="preserve">Таким образом, мероприятия налогового контроля, позволяющие сделать обоснованный вывод о совместных умышленных действиях ООО "Север-Строй" с указанными в материалах проверки контрагентами не только проведены формально, но и были в основном направлены на попытку доказывания признаков недобросовестности действий контрагентов, что не соответствует предмету доказывания в соответствии с </w:t>
      </w:r>
      <w:hyperlink w:history="0" r:id="rId4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1 статьи 54.1</w:t>
        </w:r>
      </w:hyperlink>
      <w:r>
        <w:rPr>
          <w:sz w:val="24"/>
        </w:rPr>
        <w:t xml:space="preserve"> НК РФ.</w:t>
      </w:r>
    </w:p>
    <w:p>
      <w:pPr>
        <w:pStyle w:val="0"/>
        <w:spacing w:before="240" w:lineRule="auto"/>
        <w:ind w:firstLine="540"/>
        <w:jc w:val="both"/>
      </w:pPr>
      <w:r>
        <w:rPr>
          <w:sz w:val="24"/>
        </w:rPr>
        <w:t xml:space="preserve">Проверкой не подтверждено, что работы и товары выполнены и поставлены налогоплательщиком в адрес заказчиков (покупателей) самостоятельно, без участия контрагентов. Доводы налогового органа о том, что они не оспаривают приобретенный материал, но полагают, что материал мог быть приобретен в задвоенном количестве, надлежащем образом не подтверждены материалами проверки.</w:t>
      </w:r>
    </w:p>
    <w:p>
      <w:pPr>
        <w:pStyle w:val="0"/>
        <w:spacing w:before="240" w:lineRule="auto"/>
        <w:ind w:firstLine="540"/>
        <w:jc w:val="both"/>
      </w:pPr>
      <w:r>
        <w:rPr>
          <w:sz w:val="24"/>
        </w:rPr>
        <w:t xml:space="preserve">Как указала Судебная коллегия по экономическим спорам Верховного Суда РФ в своем </w:t>
      </w:r>
      <w:hyperlink w:history="0" r:id="rId48" w:tooltip="Определение Судебной коллегии по экономическим спорам Верховного Суда РФ от 30.11.2016 по делу N 305-КГ16-10138, А40-126568/2015 Требование: О признании недействительным решения о привлечении к ответственности за совершение налогового правонарушения в части доначисления налога на прибыль организаций, соответствующих сумм пеней и штрафов. Обстоятельства: Заявитель предполагает, что при определении налоговой базы по налогу на прибыль организаций налоговый орган неправомерно не учел сумму доначисленного по рез {КонсультантПлюс}">
        <w:r>
          <w:rPr>
            <w:sz w:val="24"/>
            <w:color w:val="0000ff"/>
          </w:rPr>
          <w:t xml:space="preserve">Определении</w:t>
        </w:r>
      </w:hyperlink>
      <w:r>
        <w:rPr>
          <w:sz w:val="24"/>
        </w:rPr>
        <w:t xml:space="preserve"> от 30.11.2016 по делу N 305-КГ16-10138 по смыслу </w:t>
      </w:r>
      <w:hyperlink w:history="0" r:id="rId4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статьи 89</w:t>
        </w:r>
      </w:hyperlink>
      <w:r>
        <w:rPr>
          <w:sz w:val="24"/>
        </w:rPr>
        <w:t xml:space="preserve"> НК РФ налоговый орган, завершив выездную налоговую проверку, должен обладать всей полнотой информации о налоговых последствиях финансово-хозяйственной деятельности налогоплательщика, осуществленной в проверенном периоде (включая сведения о доходах и расходах по соответствующим налогам). Следовательно, в ходе проверки налоговый орган обязан проанализировать взаимоотношения общества, как с заказчиками, так и с поставщиками товаров (работ, услуг), и определить правильность начисления и полноту уплаты налогов и сборов по данным взаимоотношениям в пределах проверяемого периода.</w:t>
      </w:r>
    </w:p>
    <w:p>
      <w:pPr>
        <w:pStyle w:val="0"/>
        <w:spacing w:before="240" w:lineRule="auto"/>
        <w:ind w:firstLine="540"/>
        <w:jc w:val="both"/>
      </w:pPr>
      <w:r>
        <w:rPr>
          <w:sz w:val="24"/>
        </w:rPr>
        <w:t xml:space="preserve">Вместо этого, налоговый орган делает в оспариваемом решении предположительный вывод о том, что материал, использованный ООО "Север-Строй" при исполнении договоров подряда, поставлен иными лицами, что не соответствует представленным в материалы дела документам.</w:t>
      </w:r>
    </w:p>
    <w:p>
      <w:pPr>
        <w:pStyle w:val="0"/>
        <w:spacing w:before="240" w:lineRule="auto"/>
        <w:ind w:firstLine="540"/>
        <w:jc w:val="both"/>
      </w:pPr>
      <w:r>
        <w:rPr>
          <w:sz w:val="24"/>
        </w:rPr>
        <w:t xml:space="preserve">В ходе рассмотрения дела налоговым органом представлены возражения на вышеуказанные доводы общества с изложением иной позиции, чем отраженная ранее в оспариваемом решении. В данном случае налоговый орган утверждает, что поставленные спорными контрагентами ТМЦ являлись давальческими и предоставлены заказчиками, о чем приложена таблица с анализом актов приемки-сдачи работ между ООО "Север-Строй" и заказчиками, которая по мнению налогового органа подтверждает указанные выводы.</w:t>
      </w:r>
    </w:p>
    <w:p>
      <w:pPr>
        <w:pStyle w:val="0"/>
        <w:spacing w:before="240" w:lineRule="auto"/>
        <w:ind w:firstLine="540"/>
        <w:jc w:val="both"/>
      </w:pPr>
      <w:r>
        <w:rPr>
          <w:sz w:val="24"/>
        </w:rPr>
        <w:t xml:space="preserve">Как верно указали суды, в данном случае доказательственная база налогового органа строится исключительно на предположениях, в основе которых лежат признаки недобросовестности не самого общества, а его контрагентов. Данное обстоятельство не может служить основанием для лишения общества права на учет расходов по налогу на прибыль организаций и примененных им налоговых вычетов по НДС.</w:t>
      </w:r>
    </w:p>
    <w:p>
      <w:pPr>
        <w:pStyle w:val="0"/>
        <w:spacing w:before="240" w:lineRule="auto"/>
        <w:ind w:firstLine="540"/>
        <w:jc w:val="both"/>
      </w:pPr>
      <w:r>
        <w:rPr>
          <w:sz w:val="24"/>
        </w:rPr>
        <w:t xml:space="preserve">Относительно ссылки налогового органа на показания свидетелей Колесова А.В., Сунгатуллина И.Р., Лукиной О.В., Троц И.А., Захарченко А.А., Анкиной С.С., Румянцева А.Н. суды исходили из следующего.</w:t>
      </w:r>
    </w:p>
    <w:p>
      <w:pPr>
        <w:pStyle w:val="0"/>
        <w:spacing w:before="240" w:lineRule="auto"/>
        <w:ind w:firstLine="540"/>
        <w:jc w:val="both"/>
      </w:pPr>
      <w:r>
        <w:rPr>
          <w:sz w:val="24"/>
        </w:rPr>
        <w:t xml:space="preserve">Вместе с тем, судами первой и апелляционной инстанции установлено, что показания опрошенных в ходе проверки лиц противоположны. Показания свидетелей исследовались арбитражным судом в совокупности с другими доказательствами, на основании которых может быть выявлено наличие или отсутствие фактов, обосновывающих требования и возражения сторон, а также иные обстоятельства, имеющие значение для правильного разрешения дела.</w:t>
      </w:r>
    </w:p>
    <w:p>
      <w:pPr>
        <w:pStyle w:val="0"/>
        <w:spacing w:before="240" w:lineRule="auto"/>
        <w:ind w:firstLine="540"/>
        <w:jc w:val="both"/>
      </w:pPr>
      <w:r>
        <w:rPr>
          <w:sz w:val="24"/>
        </w:rPr>
        <w:t xml:space="preserve">Кроме того установлено, что допросы свидетелей проведены после истечения срока проведения дополнительных мероприятий налогового контроля (с 17.03.2023 по 17.04.2023) и даты составления Дополнения к Акту проверки - 11.05.2023. Следовательно, указанные протоколы допросов свидетелей, являются недопустимыми доказательствами и не могут быть приобщены к материалам налоговой проверки.</w:t>
      </w:r>
    </w:p>
    <w:p>
      <w:pPr>
        <w:pStyle w:val="0"/>
        <w:spacing w:before="240" w:lineRule="auto"/>
        <w:ind w:firstLine="540"/>
        <w:jc w:val="both"/>
      </w:pPr>
      <w:r>
        <w:rPr>
          <w:sz w:val="24"/>
        </w:rPr>
        <w:t xml:space="preserve">Как следует из обстоятельств спора в проверяемом периоде ООО "Север-Строй" осуществляло производство работ в адрес заказчика ООО "Газпром трансгаз Югорск" на следующих объектах: 2018 год - МГ Надым-Пунга1. Надымское ЛПУ. Основная нитка подводного перехода через р. Лонг-Юган, ДУ 1000 мм, км 45,6 - 46. - МГ Надым-Пунга1. Надымское ЛПУ. Основная нитка подводного перехода через р. Лонг-Юган, ДУ 1000 мм, км 44,2-48,9. 2019 год - МГ Уренгой-Петровск. Перегребненское ЛПУМГ. Верхняя резервная нитка подводного перехода через р. Обь, ДУ 1000 мм, км 732 - 745. - МГ Ямбург-Тула1. Октябрьское ЛПУ. Русловыпрямительные работы и противоэрозионные мероприятия через пр. Алешкинская (р. Обь), ДУ 1220 мм, км 869-883. - МГ Ямбург-Западная граница. Октябрьское ЛПУ. Основная нитка подводного перехода через пр. Алешкинская (р. Обь), ДУ 1220 мм, км 885,2 - 855,4. Выполнение работ по указанным объектам производилось не на территории ЛПУ. Работы производились в русловой части и береговой части реки (так как ООО "СеверСтрой" осуществляет реконструкцию газопроводов под водой).</w:t>
      </w:r>
    </w:p>
    <w:p>
      <w:pPr>
        <w:pStyle w:val="0"/>
        <w:spacing w:before="240" w:lineRule="auto"/>
        <w:ind w:firstLine="540"/>
        <w:jc w:val="both"/>
      </w:pPr>
      <w:r>
        <w:rPr>
          <w:sz w:val="24"/>
        </w:rPr>
        <w:t xml:space="preserve">Выполнение работ по указанным объектам производилось не на территории ЛПУ. Работы производились в русловой части и береговой части реки (так как ООО "СеверСтрой" осуществляет реконструкцию газопроводов под водой).</w:t>
      </w:r>
    </w:p>
    <w:p>
      <w:pPr>
        <w:pStyle w:val="0"/>
        <w:spacing w:before="240" w:lineRule="auto"/>
        <w:ind w:firstLine="540"/>
        <w:jc w:val="both"/>
      </w:pPr>
      <w:r>
        <w:rPr>
          <w:sz w:val="24"/>
        </w:rPr>
        <w:t xml:space="preserve">Отсутствие пропускного режима на объектах подтверждается свидетельскими показаниями сотрудников ООО "Север-Строй" Малихова И.А. в протоколе допроса N 247 от 27.04.2023 (л. 1112 обжалуемого решения) и Данилина А.И. в протоколе допроса N 248 от 27.04.2023 (л. 1099 обжалуемого решения). Также в ответ на требование N 3879 от 17.04.2023 представлены письменные пояснения руководителя ООО "Север-Строй" Садкова В.А., из которых следует, что в аренде ООО "Север-Строй" находились производственные базы для хранения техники, а также приобъектные базы и склады временного хранения материалов. Данные базы (склад) пропускного режима не имели.</w:t>
      </w:r>
    </w:p>
    <w:p>
      <w:pPr>
        <w:pStyle w:val="0"/>
        <w:spacing w:before="240" w:lineRule="auto"/>
        <w:ind w:firstLine="540"/>
        <w:jc w:val="both"/>
      </w:pPr>
      <w:r>
        <w:rPr>
          <w:sz w:val="24"/>
        </w:rPr>
        <w:t xml:space="preserve">Указанный факт отражен налоговым органом в обжалуемом решении (стр. 1164).</w:t>
      </w:r>
    </w:p>
    <w:p>
      <w:pPr>
        <w:pStyle w:val="0"/>
        <w:spacing w:before="240" w:lineRule="auto"/>
        <w:ind w:firstLine="540"/>
        <w:jc w:val="both"/>
      </w:pPr>
      <w:r>
        <w:rPr>
          <w:sz w:val="24"/>
        </w:rPr>
        <w:t xml:space="preserve">Так, в обжалуемом решении указано, что индивидуальный предприниматель Козлов В.В. в ответ на требование о представлении документов (информации) представил пояснения, что пропуска для доступа на объект не оформлялись. На объектах Козлов В.В. оказывал услуги, связанные с проведением водолазных работ. Индивидуальный предприниматель Пителин А.А. в ответ на требование о представлении документов (информации) представил пояснения, что ввиду отсутствия режимных объектов в местах погрузки-выгрузки экскаваторов, оформление пропусков для проезда не требовалось. На объектах Пителин А.А. оказывал услуги, связанные с перевозкой техники с использованием низкорамного полуприцепа-трала.</w:t>
      </w:r>
    </w:p>
    <w:p>
      <w:pPr>
        <w:pStyle w:val="0"/>
        <w:spacing w:before="240" w:lineRule="auto"/>
        <w:ind w:firstLine="540"/>
        <w:jc w:val="both"/>
      </w:pPr>
      <w:r>
        <w:rPr>
          <w:sz w:val="24"/>
        </w:rPr>
        <w:t xml:space="preserve">Также в решении указано, что индивидуальный предприниматель Цирук А.Б. в ответ на требование о представлении документов (информации) представил пояснения, что пропуска на объекты (заявки на допуск на территорию), отсутствуют. На объектах Цирук А.Б. оказывал услуги, связанные с поставкой и посадкой саженцев елей.</w:t>
      </w:r>
    </w:p>
    <w:p>
      <w:pPr>
        <w:pStyle w:val="0"/>
        <w:spacing w:before="240" w:lineRule="auto"/>
        <w:ind w:firstLine="540"/>
        <w:jc w:val="both"/>
      </w:pPr>
      <w:r>
        <w:rPr>
          <w:sz w:val="24"/>
        </w:rPr>
        <w:t xml:space="preserve">Доказательств обратного материалы налоговой проверки не содержат.</w:t>
      </w:r>
    </w:p>
    <w:p>
      <w:pPr>
        <w:pStyle w:val="0"/>
        <w:spacing w:before="240" w:lineRule="auto"/>
        <w:ind w:firstLine="540"/>
        <w:jc w:val="both"/>
      </w:pPr>
      <w:r>
        <w:rPr>
          <w:sz w:val="24"/>
        </w:rPr>
        <w:t xml:space="preserve">Таким образом, доводы налогового органа об отсутствии у общества пропусков на представителей и транспортные средства оспариваемых контрагентов, не свидетельствует о нереальности хозяйственных взаимоотношений.</w:t>
      </w:r>
    </w:p>
    <w:p>
      <w:pPr>
        <w:pStyle w:val="0"/>
        <w:spacing w:before="240" w:lineRule="auto"/>
        <w:ind w:firstLine="540"/>
        <w:jc w:val="both"/>
      </w:pPr>
      <w:r>
        <w:rPr>
          <w:sz w:val="24"/>
        </w:rPr>
        <w:t xml:space="preserve">Оценивая степень осмотрительности общества по сделкам со спорным контрагентами, налоговым органом допускается противоречие в том, что в спорном решении признаны нереальными операции только по 27 контрагентам, тогда как в тот же период, как указывает ООО "Север-Строй" у него имелись правоотношения более чем с 300 контрагентам 700 млн рублей за соответствующий период.</w:t>
      </w:r>
    </w:p>
    <w:p>
      <w:pPr>
        <w:pStyle w:val="0"/>
        <w:spacing w:before="240" w:lineRule="auto"/>
        <w:ind w:firstLine="540"/>
        <w:jc w:val="both"/>
      </w:pPr>
      <w:r>
        <w:rPr>
          <w:sz w:val="24"/>
        </w:rPr>
        <w:t xml:space="preserve">Общество в ходе проверки поясняло налоговому органу с представлением процентного расчета соответствующей доли, что каждый из заявленных налоговым органом "проблемный" контрагент составляет незначительную часть общего коммерческого оборота общества, сделки носили разовый характер, были обусловлены ограниченными сроками выполнения контрактов с заказчиками и суровыми условиями севера для выполнения работ.</w:t>
      </w:r>
    </w:p>
    <w:p>
      <w:pPr>
        <w:pStyle w:val="0"/>
        <w:spacing w:before="240" w:lineRule="auto"/>
        <w:ind w:firstLine="540"/>
        <w:jc w:val="both"/>
      </w:pPr>
      <w:r>
        <w:rPr>
          <w:sz w:val="24"/>
        </w:rPr>
        <w:t xml:space="preserve">Отсутствие информации о спорных контрагентах в исполнительской документации и иных документах, сопровождающих строительство, вызвано отсутствием согласования заказчика на их привлечение. При этом, отсутствие такого согласования не свидетельствует об отсутствии реальных взаимоотношений между компаниями.</w:t>
      </w:r>
    </w:p>
    <w:p>
      <w:pPr>
        <w:pStyle w:val="0"/>
        <w:spacing w:before="240" w:lineRule="auto"/>
        <w:ind w:firstLine="540"/>
        <w:jc w:val="both"/>
      </w:pPr>
      <w:r>
        <w:rPr>
          <w:sz w:val="24"/>
        </w:rPr>
        <w:t xml:space="preserve">Делая вывод о нереальности операций, налоговым органом не учтено, что ООО "Север-Строй" не согласовало с заказчиками привлечение спорных контрагентов. При этом привлечение субподрядчика в отсутствие согласования грозило обществу финансовыми и репутационными потерями.</w:t>
      </w:r>
    </w:p>
    <w:p>
      <w:pPr>
        <w:pStyle w:val="0"/>
        <w:spacing w:before="240" w:lineRule="auto"/>
        <w:ind w:firstLine="540"/>
        <w:jc w:val="both"/>
      </w:pPr>
      <w:r>
        <w:rPr>
          <w:sz w:val="24"/>
        </w:rPr>
        <w:t xml:space="preserve">В такой ситуации, налогоплательщик не мог отразить в документах наименование субподрядчика и в тех документах, в которых должны были фигурировать работники субподрядчика указывались ответственные сотрудники ООО "Север-Строй".</w:t>
      </w:r>
    </w:p>
    <w:p>
      <w:pPr>
        <w:pStyle w:val="0"/>
        <w:spacing w:before="240" w:lineRule="auto"/>
        <w:ind w:firstLine="540"/>
        <w:jc w:val="both"/>
      </w:pPr>
      <w:r>
        <w:rPr>
          <w:sz w:val="24"/>
        </w:rPr>
        <w:t xml:space="preserve">Суды учитывали, что отсутствие согласия заказчика на привлечение субподрядчика свидетельствует о нарушении условий договора между подрядчиком и заказчиком, но не об отсутствии между подрядчиком и субподрядчиком реальных взаимоотношений и разумной экономической цели, то есть может иметь только гражданско-правовые, а не налоговые последствия.</w:t>
      </w:r>
    </w:p>
    <w:p>
      <w:pPr>
        <w:pStyle w:val="0"/>
        <w:spacing w:before="240" w:lineRule="auto"/>
        <w:ind w:firstLine="540"/>
        <w:jc w:val="both"/>
      </w:pPr>
      <w:r>
        <w:rPr>
          <w:sz w:val="24"/>
        </w:rPr>
        <w:t xml:space="preserve">Кроме того, ООО "Север-Строй" самостоятельно несет ответственность за выполнение работ в полном объеме и в необходимые сроки в период действия договоров с заказчиками, а также за качество выполненных работ в течение гарантийного срока в связи с чем во всех документах (журналы общих работ, акты освидетельствования), оформляемых с участием заказчиков, только ООО "Север-Строй" представлено как лицо, выполнившее работы. Следовательно, отсутствие в исполнительской документации сведений об инженерно-техническом персонале субподрядчиков не доказывает невыполнение соответствующего объема работ указанными контрагентами, поскольку такая практика заполнения журнала была обычной для заказчика и применялась им практически ко всем субподрядным организациям.</w:t>
      </w:r>
    </w:p>
    <w:p>
      <w:pPr>
        <w:pStyle w:val="0"/>
        <w:spacing w:before="240" w:lineRule="auto"/>
        <w:ind w:firstLine="540"/>
        <w:jc w:val="both"/>
      </w:pPr>
      <w:r>
        <w:rPr>
          <w:sz w:val="24"/>
        </w:rPr>
        <w:t xml:space="preserve">Оплата по сделкам со спорными контрагентами ООО "Север-Строй" производилась частично посредством безналичного перечисления денежных средств, что не оспаривается налоговым органом и подтверждено им в ходе налоговой проверки и отражено в оспариваемом решении.</w:t>
      </w:r>
    </w:p>
    <w:p>
      <w:pPr>
        <w:pStyle w:val="0"/>
        <w:spacing w:before="240" w:lineRule="auto"/>
        <w:ind w:firstLine="540"/>
        <w:jc w:val="both"/>
      </w:pPr>
      <w:r>
        <w:rPr>
          <w:sz w:val="24"/>
        </w:rPr>
        <w:t xml:space="preserve">При этом, как пояснило общество, по части спорных контрагентов, указанных в решении налогового органа отсутствует в связи с ее частичной оплатой обществом, восстановлением кредиторской задолженности во внереализационные доходы, в связи с истечением срока исковой давности и исключением из ЕГРЮЛ, а также в связи с уступкой кредиторами прав требования третьим лицам, что подтверждено представленными обществом договорами цессии.</w:t>
      </w:r>
    </w:p>
    <w:p>
      <w:pPr>
        <w:pStyle w:val="0"/>
        <w:spacing w:before="240" w:lineRule="auto"/>
        <w:ind w:firstLine="540"/>
        <w:jc w:val="both"/>
      </w:pPr>
      <w:r>
        <w:rPr>
          <w:sz w:val="24"/>
        </w:rPr>
        <w:t xml:space="preserve">Как показал анализ расчетных счетов спорных контрагентов, денежные средства поступают от различных организаций, в том числе, за товарно-материальные ценности, выполненные работы, оказанные услуги, что свидетельствует о реальности осуществления контрагентами финансово-хозяйственной деятельности.</w:t>
      </w:r>
    </w:p>
    <w:p>
      <w:pPr>
        <w:pStyle w:val="0"/>
        <w:spacing w:before="240" w:lineRule="auto"/>
        <w:ind w:firstLine="540"/>
        <w:jc w:val="both"/>
      </w:pPr>
      <w:r>
        <w:rPr>
          <w:sz w:val="24"/>
        </w:rPr>
        <w:t xml:space="preserve">Более того, из материалов проверки следует, что ООО "Бастион" имело штатную численность. Согласно Справок 2 НДФЛ в 2018 - 5 человек, в 2019 - 8 человек. ООО "Сигма" имело штатную численность. Согласно Справок 2 НДФЛ в 2018 - 2 человека, в 2019 - 4 человека. ООО "Строительная компания Кристалл" имело штатную численность. Согласно Справок 2 НДФЛ в 2018 - 4 человека, в 2019 - 4 человека. ООО "Дельта" имело штатную численность. Согласно Справок 2 НДФЛ в 2018 - 5 человек, в 2019 - 10 человек. ООО "Каскад" имело штатную численность. Согласно Справок 2 НДФЛ в 2018 - 5 человек, в 2019 - 8 человек. ООО "Компания Малахит" имело штатную численность. Согласно Справок 2 НДФЛ в 2018 - 5 человек, в 2019 - 8 человек. ООО "Родис" имело штатную численность. Согласно Справок 2 НДФЛ в 2018 - 5 человек, в 2019 - 7 человек. ООО "Сокол" имело штатную численность. Согласно Справок 2 НДФЛ в 2018 - 5 человек, в 2019 - 6 человек. ООО "Спецгарант" имело штатную численность. Согласно Справок 2 НДФЛ в 2018 - 5 человек, в 2019 - 8 человек. ООО "Статус" имело штатную численность. Согласно Справки 2 НДФЛ в 2018 - 8 человек. ООО "Форестгрупп" имело штатную численность. Согласно Справки 2 НДФЛ в 2019 - 3 человека.</w:t>
      </w:r>
    </w:p>
    <w:p>
      <w:pPr>
        <w:pStyle w:val="0"/>
        <w:spacing w:before="240" w:lineRule="auto"/>
        <w:ind w:firstLine="540"/>
        <w:jc w:val="both"/>
      </w:pPr>
      <w:r>
        <w:rPr>
          <w:sz w:val="24"/>
        </w:rPr>
        <w:t xml:space="preserve">Согласно публичным сведениям, размещенным в сети интернет большинство контрагентов на момент исполнения сделок с ООО "Север-Строй" осуществляли реальную хозяйственную деятельность.</w:t>
      </w:r>
    </w:p>
    <w:p>
      <w:pPr>
        <w:pStyle w:val="0"/>
        <w:spacing w:before="240" w:lineRule="auto"/>
        <w:ind w:firstLine="540"/>
        <w:jc w:val="both"/>
      </w:pPr>
      <w:r>
        <w:rPr>
          <w:sz w:val="24"/>
        </w:rPr>
        <w:t xml:space="preserve">Так, контрагент ООО "Афон" выступало участником конкурсов, проводимых в порядке, предусмотренном Федеральным </w:t>
      </w:r>
      <w:hyperlink w:history="0" r:id="rId50"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 Недействующая редакция {КонсультантПлюс}">
        <w:r>
          <w:rPr>
            <w:sz w:val="24"/>
            <w:color w:val="0000ff"/>
          </w:rPr>
          <w:t xml:space="preserve">законом</w:t>
        </w:r>
      </w:hyperlink>
      <w:r>
        <w:rPr>
          <w:sz w:val="24"/>
        </w:rPr>
        <w:t xml:space="preserve"> "О контрактной системе в сфере закупок товаров, работ, услуг для обеспечения государственных и муниципальных нужд" от 05.04.2013 N 44-ФЗ и выступало поставщиком по 8 контрактам на общую сумму 23 613 млн руб., при этом, согласно сведениям из картотеки арбитражных дел, указанный контрагент неоднократно выступал участником судебных споров, в качестве истца, ответчика и третьего лица по делам NN А28-1363/2023, А65-36635/2022, А40-120690/2022, А38-1829/2021, А55-31685/2019, А75-5541/2019.</w:t>
      </w:r>
    </w:p>
    <w:p>
      <w:pPr>
        <w:pStyle w:val="0"/>
        <w:spacing w:before="240" w:lineRule="auto"/>
        <w:ind w:firstLine="540"/>
        <w:jc w:val="both"/>
      </w:pPr>
      <w:r>
        <w:rPr>
          <w:sz w:val="24"/>
        </w:rPr>
        <w:t xml:space="preserve">Аналогичная ситуация с контрагентом ООО "Бастерр", по которому налоговым органом сделан вывод о номинальном характере деятельности директора. Согласно сведениям из картотеки арбитражных дел, указанный контрагент неоднократно выступал участником судебных споров, в качестве истца, ответчика и третьего лица по делам NN А65-29015/2020, А65-2244/2020, А65-35001/2019, А65-18958/2019, А65-13849/2019, А65-12220/2019, А65-37776/2018.</w:t>
      </w:r>
    </w:p>
    <w:p>
      <w:pPr>
        <w:pStyle w:val="0"/>
        <w:spacing w:before="240" w:lineRule="auto"/>
        <w:ind w:firstLine="540"/>
        <w:jc w:val="both"/>
      </w:pPr>
      <w:r>
        <w:rPr>
          <w:sz w:val="24"/>
        </w:rPr>
        <w:t xml:space="preserve">Контрагент ООО "Дельта" также вел реальную хозяйственную деятельность, имея в штате 15 человек, что не отрицалось его руководителем. Многократно выступало победителем конкурсов на поставки для муниципальных и государственных нужд, выполнило всего 59 поставок на сумму 11 104 млн руб. Согласно сведениям из картотеки арбитражных дел, указанный контрагент неоднократно выступал участником судебных споров, в качестве истца, ответчика и третьего лица по делам NN А38-5105/2021, А38-4521/2021, А65-28551/2020, А65-28551/2020, А38-8077/2020, А40-121822/2020, А38-3697/2020, А38-2930/2020, А65-3879/2020, А46-2088/2020 и др.</w:t>
      </w:r>
    </w:p>
    <w:p>
      <w:pPr>
        <w:pStyle w:val="0"/>
        <w:spacing w:before="240" w:lineRule="auto"/>
        <w:ind w:firstLine="540"/>
        <w:jc w:val="both"/>
      </w:pPr>
      <w:r>
        <w:rPr>
          <w:sz w:val="24"/>
        </w:rPr>
        <w:t xml:space="preserve">Контрагент ООО "Диамант" выступая в хозяйственном обороте, также вел реальную деятельность, о чем, в частности, свидетельствуют данные из картотеки арбитражных дел NN А65-7122/2021, А65-6347/2020, А65-3879/2020, А65-3303/2020, А65-3302/2020, А65-3185/2019.</w:t>
      </w:r>
    </w:p>
    <w:p>
      <w:pPr>
        <w:pStyle w:val="0"/>
        <w:spacing w:before="240" w:lineRule="auto"/>
        <w:ind w:firstLine="540"/>
        <w:jc w:val="both"/>
      </w:pPr>
      <w:r>
        <w:rPr>
          <w:sz w:val="24"/>
        </w:rPr>
        <w:t xml:space="preserve">Аналогичная информация содержится в картотеке арбитражных дела и в отношении ООО "Интехпром" по делам NN А65-38129/2017, А65-21578/2017, А65-21577/2017, А32-12859/2017.</w:t>
      </w:r>
    </w:p>
    <w:p>
      <w:pPr>
        <w:pStyle w:val="0"/>
        <w:spacing w:before="240" w:lineRule="auto"/>
        <w:ind w:firstLine="540"/>
        <w:jc w:val="both"/>
      </w:pPr>
      <w:r>
        <w:rPr>
          <w:sz w:val="24"/>
        </w:rPr>
        <w:t xml:space="preserve">Таким образом, выводы налогового органа об отсутствии у контрагентов необходимых условий для достижения результатов соответствующей экономической деятельности не подтверждены документально.</w:t>
      </w:r>
    </w:p>
    <w:p>
      <w:pPr>
        <w:pStyle w:val="0"/>
        <w:spacing w:before="240" w:lineRule="auto"/>
        <w:ind w:firstLine="540"/>
        <w:jc w:val="both"/>
      </w:pPr>
      <w:r>
        <w:rPr>
          <w:sz w:val="24"/>
        </w:rPr>
        <w:t xml:space="preserve">При этом судами правомерно отклонены доводы инспекции, связанные с анализом деятельности контрагентов второго, третьего звена, поскольку как правильно указано судом недобросовестность контрагентов второго и третьего звена не влечет автоматического признания необоснованной заявленной налогоплательщиком налоговой выгоды, поскольку каждый из этих лиц самостоятельно несет ответственность за выполнение своих обязанностей и независимо друг от друга пользуется своими правами. Таким образом, налогоплательщик не может нести ответственности за всю цепочку контрагентов и контролировать налоговую добросовестность поставщиков второго, третьего звена (</w:t>
      </w:r>
      <w:hyperlink w:history="0" r:id="rId51" w:tooltip="Определение Верховного Суда РФ от 01.02.2016 N 308-КГ15-18629 по делу N А63-9913/2014 Требование: О пересмотре в кассационном порядке судебных актов по делу о признании недействительным решения налогового органа. Обжалуемый результат спора: Требование удовлетворено частично, поскольку установлено, что налогоплательщик представил все документы, подтверждающие право на получение налогового вычета по НДС, вовлечение его в схему получения необоснованной налоговой выгоды не доказано. Решение: В передаче дела в С {КонсультантПлюс}">
        <w:r>
          <w:rPr>
            <w:sz w:val="24"/>
            <w:color w:val="0000ff"/>
          </w:rPr>
          <w:t xml:space="preserve">Определение</w:t>
        </w:r>
      </w:hyperlink>
      <w:r>
        <w:rPr>
          <w:sz w:val="24"/>
        </w:rPr>
        <w:t xml:space="preserve"> Верховного Суда Российской Федерации от 01.02.2016 N 308-КГ15-18629).</w:t>
      </w:r>
    </w:p>
    <w:p>
      <w:pPr>
        <w:pStyle w:val="0"/>
        <w:spacing w:before="240" w:lineRule="auto"/>
        <w:ind w:firstLine="540"/>
        <w:jc w:val="both"/>
      </w:pPr>
      <w:r>
        <w:rPr>
          <w:sz w:val="24"/>
        </w:rPr>
        <w:t xml:space="preserve">Налоговый орган не опроверг реальность сделок между контрагентами ООО "Статус", ООО Строительная компания "Основание", ООО "Каскад", ООО "Сигма", ООО "Трансопт", ООО "Афон", ООО "Бастерр", ООО "Бастион", ООО "Диамант", ООО Компания "Малахит", ООО "Продоптторг", ООО "Решение", ООО "Родис", ООО "Строительная компания "Кристалл", ООО "Сокол", ООО "Спецгарант", ООО "Форестгрупп", ООО "Дельта", ООО "СТК Сфера", ООО "Гелион Групп", ООО "Интехпром", ООО "Оптимальный элемент", ООО "СК Гросс", ООО "Модерн", ООО СТК "Стройкомплектация" и заявителем. Данные контрагенты вели реальную финансово-хозяйственную деятельность, не являются фирмами однодневками, представляли отчетность и оплачивали налоги.</w:t>
      </w:r>
    </w:p>
    <w:p>
      <w:pPr>
        <w:pStyle w:val="0"/>
        <w:spacing w:before="240" w:lineRule="auto"/>
        <w:ind w:firstLine="540"/>
        <w:jc w:val="both"/>
      </w:pPr>
      <w:r>
        <w:rPr>
          <w:sz w:val="24"/>
        </w:rPr>
        <w:t xml:space="preserve">Материалами проверки не установлены признаки умышленного вывода денежных средств общества по фиктивным документам; возврат денежных средств обратно в общество после сделок с контрагентом; признаки обналичивания и факты причастности к этому руководителя, учредителя общества, а также факты перевода денежных средств в низконалоговые иностранные юрисдикции и иные подобные обстоятельства, каким-либо образом порочащие финансово-хозяйственные отношения с контрагентами.</w:t>
      </w:r>
    </w:p>
    <w:p>
      <w:pPr>
        <w:pStyle w:val="0"/>
        <w:spacing w:before="240" w:lineRule="auto"/>
        <w:ind w:firstLine="540"/>
        <w:jc w:val="both"/>
      </w:pPr>
      <w:r>
        <w:rPr>
          <w:sz w:val="24"/>
        </w:rPr>
        <w:t xml:space="preserve">Наличия закольцованных схем движения денежных средств, созданных и используемых единым бенефициаром - ООО "Север-Строй", не установлено. Факты взаимозависимости, его влияния на конкретные сделки, а также иные примеры сговора контролирующих лиц, не выявлены.</w:t>
      </w:r>
    </w:p>
    <w:p>
      <w:pPr>
        <w:pStyle w:val="0"/>
        <w:spacing w:before="240" w:lineRule="auto"/>
        <w:ind w:firstLine="540"/>
        <w:jc w:val="both"/>
      </w:pPr>
      <w:r>
        <w:rPr>
          <w:sz w:val="24"/>
        </w:rPr>
        <w:t xml:space="preserve">В нарушение </w:t>
      </w:r>
      <w:hyperlink w:history="0" r:id="rId52"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статьи 65</w:t>
        </w:r>
      </w:hyperlink>
      <w:r>
        <w:rPr>
          <w:sz w:val="24"/>
        </w:rPr>
        <w:t xml:space="preserve"> АПК РФ налоговым органом не доказана нереальность спорных хозяйственных операций и наличие согласованных с привлеченными организациями умышленных действий заявителя на получение необоснованной налоговой выгоды в виде необоснованного возмещения из бюджета НДС и налога на прибыль.</w:t>
      </w:r>
    </w:p>
    <w:p>
      <w:pPr>
        <w:pStyle w:val="0"/>
        <w:spacing w:before="240" w:lineRule="auto"/>
        <w:ind w:firstLine="540"/>
        <w:jc w:val="both"/>
      </w:pPr>
      <w:r>
        <w:rPr>
          <w:sz w:val="24"/>
        </w:rPr>
        <w:t xml:space="preserve">Таким образом, суды пришли к выводу о том, что совокупность представленных налоговым органом доказательств не позволяет установить недобросовестность ООО "Север - Строй" и не подтверждает отсутствие реальности хозяйственных операций налогоплательщика ООО "Статус", ООО Строительная компания "Основание", ООО "Каскад", ООО "Сигма", ООО "Трансопт", ООО "Афон", ООО "Бастерр", ООО "Бастион", ООО "Диамант", ООО Компания "Малахит", ООО "Продоптторг", ООО "Решение", ООО "Родис", ООО "Строительная компания "Кристалл", ООО "Сокол", ООО "Спецгарант", ООО "Форестгрупп", ООО "Дельта", ООО "СТК Сфера", ООО "Гелион Групп", ООО "Интехпром", ООО "Оптимальный элемент", ООО "СК Гросс", ООО "Модерн", ООО СТК "Стройкомплектация". Обществом не допущено искажения сведений о фактах хозяйственной жизни, а также об объектах налогообложения, подлежащих отражению в налоговом и (или) бухгалтерском учете либо налоговой отчетности.</w:t>
      </w:r>
    </w:p>
    <w:p>
      <w:pPr>
        <w:pStyle w:val="0"/>
        <w:spacing w:before="240" w:lineRule="auto"/>
        <w:ind w:firstLine="540"/>
        <w:jc w:val="both"/>
      </w:pPr>
      <w:r>
        <w:rPr>
          <w:sz w:val="24"/>
        </w:rPr>
        <w:t xml:space="preserve">Реальность расходов общества по оплате работ и услуг в адрес контрагентов налоговым органом не опровергнута. Налогоплательщик предоставил налоговому органу все необходимые документы, подтверждающие взаимоотношения между заявителем и спорным контрагентом.</w:t>
      </w:r>
    </w:p>
    <w:p>
      <w:pPr>
        <w:pStyle w:val="0"/>
        <w:spacing w:before="240" w:lineRule="auto"/>
        <w:ind w:firstLine="540"/>
        <w:jc w:val="both"/>
      </w:pPr>
      <w:r>
        <w:rPr>
          <w:sz w:val="24"/>
        </w:rPr>
        <w:t xml:space="preserve">Обстоятельств, предусмотренных </w:t>
      </w:r>
      <w:hyperlink w:history="0" r:id="rId5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54.1</w:t>
        </w:r>
      </w:hyperlink>
      <w:r>
        <w:rPr>
          <w:sz w:val="24"/>
        </w:rPr>
        <w:t xml:space="preserve"> НК РФ, и препятствующих применению налоговых вычетов и учету затрат, не имеется.</w:t>
      </w:r>
    </w:p>
    <w:p>
      <w:pPr>
        <w:pStyle w:val="0"/>
        <w:spacing w:before="240" w:lineRule="auto"/>
        <w:ind w:firstLine="540"/>
        <w:jc w:val="both"/>
      </w:pPr>
      <w:r>
        <w:rPr>
          <w:sz w:val="24"/>
        </w:rPr>
        <w:t xml:space="preserve">В отношении взаимоотношений ООО "Север-Строй" с контрагентами ООО "Авангард", ООО "Торгово-производственная компания Урожай" суды пришли к выводу об отказе в удовлетворении заявления общества.</w:t>
      </w:r>
    </w:p>
    <w:p>
      <w:pPr>
        <w:pStyle w:val="0"/>
        <w:spacing w:before="240" w:lineRule="auto"/>
        <w:ind w:firstLine="540"/>
        <w:jc w:val="both"/>
      </w:pPr>
      <w:r>
        <w:rPr>
          <w:sz w:val="24"/>
        </w:rPr>
        <w:t xml:space="preserve">В порядке </w:t>
      </w:r>
      <w:hyperlink w:history="0" r:id="rId54"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части 2 статьи 69</w:t>
        </w:r>
      </w:hyperlink>
      <w:r>
        <w:rPr>
          <w:sz w:val="24"/>
        </w:rPr>
        <w:t xml:space="preserve"> АПК РФ суды учли обстоятельства, установленные вступившими в законную силу судебными актами по делу N А65-24949/2022, а именно направленность действий налогоплательщика на умышленное создание фиктивного документооборота с ООО "Авангард" и ООО "Торгово-производственная компания Урожай". Так представленные обществом первичные документы содержат недостоверные сведения и не подтверждают реальной поставки товара и оказания услуг ООО "Авангард" и ООО "Торгово-производственная компания Урожай". Имело место искажение налогоплательщиком сведений о финансово-хозяйственной деятельности в целях неуплаты в бюджет НДС и уменьшения налога на прибыль организаций.</w:t>
      </w:r>
    </w:p>
    <w:p>
      <w:pPr>
        <w:pStyle w:val="0"/>
        <w:spacing w:before="240" w:lineRule="auto"/>
        <w:ind w:firstLine="540"/>
        <w:jc w:val="both"/>
      </w:pPr>
      <w:r>
        <w:rPr>
          <w:sz w:val="24"/>
        </w:rPr>
        <w:t xml:space="preserve">Учитывая невозможность поставки товара указанными контрагентами, в том числе в связи с отсутствием необходимых условий для достижения результатов соответствующей экономической и предпринимательской деятельности, а также отсутствие информации о реальном поставщике, расходы по приобретенным у указанным поставщиков и использованным при выполнении работ ТМЦ не могут быть учтены при исчислении налога на прибыль.</w:t>
      </w:r>
    </w:p>
    <w:p>
      <w:pPr>
        <w:pStyle w:val="0"/>
        <w:spacing w:before="240" w:lineRule="auto"/>
        <w:ind w:firstLine="540"/>
        <w:jc w:val="both"/>
      </w:pPr>
      <w:r>
        <w:rPr>
          <w:sz w:val="24"/>
        </w:rPr>
        <w:t xml:space="preserve">Исследовав и оценив по правилам </w:t>
      </w:r>
      <w:hyperlink w:history="0" r:id="rId55"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статьи 71</w:t>
        </w:r>
      </w:hyperlink>
      <w:r>
        <w:rPr>
          <w:sz w:val="24"/>
        </w:rPr>
        <w:t xml:space="preserve"> АПК РФ представленные в материалы дела доказательства, суды пришли к выводу о том, что они в совокупности подтверждают реальность совершенных им хозяйственных операций в проверяемый налоговый период, действительное исполнение договоров заявителем и его контрагентами, отражение хозяйственных операций в учете налогоплательщика и контрагентов должным образом и в соответствии с требованиями действующего законодательства Российской Федерации.</w:t>
      </w:r>
    </w:p>
    <w:p>
      <w:pPr>
        <w:pStyle w:val="0"/>
        <w:spacing w:before="240" w:lineRule="auto"/>
        <w:ind w:firstLine="540"/>
        <w:jc w:val="both"/>
      </w:pPr>
      <w:r>
        <w:rPr>
          <w:sz w:val="24"/>
        </w:rPr>
        <w:t xml:space="preserve">Суд кассационной инстанции признает выводы судов первой и апелляционной инстанции соответствующими обстоятельствам спора и основанными на правильном применении норм права, в связи с чем возражения налогового органа не опровергают позицию судов и не свидетельствуют о неправильном применении ими норм права или допущенной ошибке.</w:t>
      </w:r>
    </w:p>
    <w:p>
      <w:pPr>
        <w:pStyle w:val="0"/>
        <w:spacing w:before="240" w:lineRule="auto"/>
        <w:ind w:firstLine="540"/>
        <w:jc w:val="both"/>
      </w:pPr>
      <w:r>
        <w:rPr>
          <w:sz w:val="24"/>
        </w:rPr>
        <w:t xml:space="preserve">Доводы, изложенные в кассационной жалобе тождественны тем доводам, которые являлись предметом рассмотрения судов первой и апелляционной инстанции, им дана надлежащая правовая оценка, основания для ее непринятия у кассационной инстанции отсутствуют.</w:t>
      </w:r>
    </w:p>
    <w:p>
      <w:pPr>
        <w:pStyle w:val="0"/>
        <w:spacing w:before="240" w:lineRule="auto"/>
        <w:ind w:firstLine="540"/>
        <w:jc w:val="both"/>
      </w:pPr>
      <w:r>
        <w:rPr>
          <w:sz w:val="24"/>
        </w:rPr>
        <w:t xml:space="preserve">По существу доводы кассационной жалобы сводятся к переоценке выводов судов первой и апелляционной инстанций, что в силу положений </w:t>
      </w:r>
      <w:hyperlink w:history="0" r:id="rId56"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статьи 286</w:t>
        </w:r>
      </w:hyperlink>
      <w:r>
        <w:rPr>
          <w:sz w:val="24"/>
        </w:rPr>
        <w:t xml:space="preserve"> и </w:t>
      </w:r>
      <w:hyperlink w:history="0" r:id="rId57"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части 2 статьи 287</w:t>
        </w:r>
      </w:hyperlink>
      <w:r>
        <w:rPr>
          <w:sz w:val="24"/>
        </w:rPr>
        <w:t xml:space="preserve"> АПК РФ не допускается в суде кассационной инстанции.</w:t>
      </w:r>
    </w:p>
    <w:p>
      <w:pPr>
        <w:pStyle w:val="0"/>
        <w:spacing w:before="240" w:lineRule="auto"/>
        <w:ind w:firstLine="540"/>
        <w:jc w:val="both"/>
      </w:pPr>
      <w:r>
        <w:rPr>
          <w:sz w:val="24"/>
        </w:rPr>
        <w:t xml:space="preserve">На основании изложенного и руководствуясь </w:t>
      </w:r>
      <w:hyperlink w:history="0" r:id="rId58"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пунктом 1 части 1 статьи 287</w:t>
        </w:r>
      </w:hyperlink>
      <w:r>
        <w:rPr>
          <w:sz w:val="24"/>
        </w:rPr>
        <w:t xml:space="preserve">, </w:t>
      </w:r>
      <w:hyperlink w:history="0" r:id="rId59"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статьями 286</w:t>
        </w:r>
      </w:hyperlink>
      <w:r>
        <w:rPr>
          <w:sz w:val="24"/>
        </w:rPr>
        <w:t xml:space="preserve">, </w:t>
      </w:r>
      <w:hyperlink w:history="0" r:id="rId60"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289</w:t>
        </w:r>
      </w:hyperlink>
      <w:r>
        <w:rPr>
          <w:sz w:val="24"/>
        </w:rPr>
        <w:t xml:space="preserve"> Арбитражного процессуального кодекса Российской Федерации, Арбитражный суд Поволжского округа</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61" w:tooltip="Решение Арбитражного суда Республики Татарстан от 23.04.2024 по делу N А65-36195/2023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в части. {КонсультантПлюс}">
        <w:r>
          <w:rPr>
            <w:sz w:val="24"/>
            <w:color w:val="0000ff"/>
          </w:rPr>
          <w:t xml:space="preserve">решение</w:t>
        </w:r>
      </w:hyperlink>
      <w:r>
        <w:rPr>
          <w:sz w:val="24"/>
        </w:rPr>
        <w:t xml:space="preserve"> Арбитражного суда Республики Татарстан от 23.04.2024 и </w:t>
      </w:r>
      <w:hyperlink w:history="0" r:id="rId62" w:tooltip="Постановление Одиннадцатого арбитражного апелляционного суда от 29.07.2024 N 11АП-8799/2024 по делу N А65-36195/2023 Требование: О признании недействительным решения налогового органа о привлечении к ответственности за совершение налогового правонарушения. Решение: Требование удовлетворено в части. {КонсультантПлюс}">
        <w:r>
          <w:rPr>
            <w:sz w:val="24"/>
            <w:color w:val="0000ff"/>
          </w:rPr>
          <w:t xml:space="preserve">постановление</w:t>
        </w:r>
      </w:hyperlink>
      <w:r>
        <w:rPr>
          <w:sz w:val="24"/>
        </w:rPr>
        <w:t xml:space="preserve"> Одиннадцатого арбитражного апелляционного суда от 29.07.2024 по делу N А65-36195/2023 оставить без изменения, кассационную жалобу - без удовлетворения.</w:t>
      </w:r>
    </w:p>
    <w:p>
      <w:pPr>
        <w:pStyle w:val="0"/>
        <w:spacing w:before="240" w:lineRule="auto"/>
        <w:ind w:firstLine="540"/>
        <w:jc w:val="both"/>
      </w:pPr>
      <w:r>
        <w:rPr>
          <w:sz w:val="24"/>
        </w:rPr>
        <w:t xml:space="preserve">Постановление вступает в законную силу со дня его принятия и может быть обжаловано в Судебную коллегию Верховного Суда Российской Федерации в срок, не превышающий двух месяцев со дня его принятия, в порядке, установленном </w:t>
      </w:r>
      <w:hyperlink w:history="0" r:id="rId63"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статьей 291.1</w:t>
        </w:r>
      </w:hyperlink>
      <w:r>
        <w:rPr>
          <w:sz w:val="24"/>
        </w:rPr>
        <w:t xml:space="preserve"> Арбитражного процессуального кодекса Российской Федерации.</w:t>
      </w:r>
    </w:p>
    <w:p>
      <w:pPr>
        <w:pStyle w:val="0"/>
        <w:ind w:firstLine="540"/>
        <w:jc w:val="both"/>
      </w:pPr>
      <w:r>
        <w:rPr>
          <w:sz w:val="24"/>
        </w:rPr>
      </w:r>
    </w:p>
    <w:p>
      <w:pPr>
        <w:pStyle w:val="0"/>
        <w:jc w:val="right"/>
      </w:pPr>
      <w:r>
        <w:rPr>
          <w:sz w:val="24"/>
        </w:rPr>
        <w:t xml:space="preserve">Председательствующий судья</w:t>
      </w:r>
    </w:p>
    <w:p>
      <w:pPr>
        <w:pStyle w:val="0"/>
        <w:jc w:val="right"/>
      </w:pPr>
      <w:r>
        <w:rPr>
          <w:sz w:val="24"/>
        </w:rPr>
        <w:t xml:space="preserve">И.Ш.ЗАКИРОВА</w:t>
      </w:r>
    </w:p>
    <w:p>
      <w:pPr>
        <w:pStyle w:val="0"/>
        <w:jc w:val="right"/>
      </w:pPr>
      <w:r>
        <w:rPr>
          <w:sz w:val="24"/>
        </w:rPr>
      </w:r>
    </w:p>
    <w:p>
      <w:pPr>
        <w:pStyle w:val="0"/>
        <w:jc w:val="right"/>
      </w:pPr>
      <w:r>
        <w:rPr>
          <w:sz w:val="24"/>
        </w:rPr>
        <w:t xml:space="preserve">Судьи</w:t>
      </w:r>
    </w:p>
    <w:p>
      <w:pPr>
        <w:pStyle w:val="0"/>
        <w:jc w:val="right"/>
      </w:pPr>
      <w:r>
        <w:rPr>
          <w:sz w:val="24"/>
        </w:rPr>
        <w:t xml:space="preserve">Р.Р.МУХАМЕТШИН</w:t>
      </w:r>
    </w:p>
    <w:p>
      <w:pPr>
        <w:pStyle w:val="0"/>
        <w:jc w:val="right"/>
      </w:pPr>
      <w:r>
        <w:rPr>
          <w:sz w:val="24"/>
        </w:rPr>
        <w:t xml:space="preserve">Л.Ф.ХАБИБУЛЛИН</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Поволжского округа от 04.12.2024 N Ф06-9351/2024 по делу N А65-36195/2023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Поволжского округа от 04.12.2024 N Ф06-9351/2024 по делу N А65-36195/2023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PV&amp;n=2296398&amp;date=16.12.2025" TargetMode = "External"/><Relationship Id="rId8" Type="http://schemas.openxmlformats.org/officeDocument/2006/relationships/hyperlink" Target="https://login.consultant.ru/link/?req=doc&amp;base=RAPS011&amp;n=240156&amp;date=16.12.2025" TargetMode = "External"/><Relationship Id="rId9" Type="http://schemas.openxmlformats.org/officeDocument/2006/relationships/hyperlink" Target="https://login.consultant.ru/link/?req=doc&amp;base=ASPV&amp;n=2296398&amp;date=16.12.2025" TargetMode = "External"/><Relationship Id="rId10" Type="http://schemas.openxmlformats.org/officeDocument/2006/relationships/hyperlink" Target="https://login.consultant.ru/link/?req=doc&amp;base=RAPS011&amp;n=240156&amp;date=16.12.2025" TargetMode = "External"/><Relationship Id="rId11" Type="http://schemas.openxmlformats.org/officeDocument/2006/relationships/hyperlink" Target="https://login.consultant.ru/link/?req=doc&amp;base=ASPV&amp;n=2296398&amp;date=16.12.2025" TargetMode = "External"/><Relationship Id="rId12" Type="http://schemas.openxmlformats.org/officeDocument/2006/relationships/hyperlink" Target="https://login.consultant.ru/link/?req=doc&amp;base=RAPS011&amp;n=240156&amp;date=16.12.2025" TargetMode = "External"/><Relationship Id="rId13" Type="http://schemas.openxmlformats.org/officeDocument/2006/relationships/hyperlink" Target="https://login.consultant.ru/link/?req=doc&amp;base=LAW&amp;n=472841&amp;date=16.12.2025&amp;dst=101367&amp;field=134" TargetMode = "External"/><Relationship Id="rId14" Type="http://schemas.openxmlformats.org/officeDocument/2006/relationships/hyperlink" Target="https://login.consultant.ru/link/?req=doc&amp;base=LAW&amp;n=472841&amp;date=16.12.2025&amp;dst=4403&amp;field=134" TargetMode = "External"/><Relationship Id="rId15" Type="http://schemas.openxmlformats.org/officeDocument/2006/relationships/hyperlink" Target="https://login.consultant.ru/link/?req=doc&amp;base=LAW&amp;n=482731&amp;date=16.12.2025&amp;dst=101882&amp;field=134" TargetMode = "External"/><Relationship Id="rId16" Type="http://schemas.openxmlformats.org/officeDocument/2006/relationships/hyperlink" Target="https://login.consultant.ru/link/?req=doc&amp;base=LAW&amp;n=482731&amp;date=16.12.2025&amp;dst=370&amp;field=134" TargetMode = "External"/><Relationship Id="rId17" Type="http://schemas.openxmlformats.org/officeDocument/2006/relationships/hyperlink" Target="https://login.consultant.ru/link/?req=doc&amp;base=LAW&amp;n=482731&amp;date=16.12.2025&amp;dst=375&amp;field=134" TargetMode = "External"/><Relationship Id="rId18" Type="http://schemas.openxmlformats.org/officeDocument/2006/relationships/hyperlink" Target="https://login.consultant.ru/link/?req=doc&amp;base=LAW&amp;n=482731&amp;date=16.12.2025&amp;dst=378&amp;field=134" TargetMode = "External"/><Relationship Id="rId19" Type="http://schemas.openxmlformats.org/officeDocument/2006/relationships/hyperlink" Target="https://login.consultant.ru/link/?req=doc&amp;base=LAW&amp;n=482731&amp;date=16.12.2025&amp;dst=379&amp;field=134" TargetMode = "External"/><Relationship Id="rId20" Type="http://schemas.openxmlformats.org/officeDocument/2006/relationships/hyperlink" Target="https://login.consultant.ru/link/?req=doc&amp;base=LAW&amp;n=315088&amp;date=16.12.2025&amp;dst=100018&amp;field=134" TargetMode = "External"/><Relationship Id="rId21" Type="http://schemas.openxmlformats.org/officeDocument/2006/relationships/hyperlink" Target="https://login.consultant.ru/link/?req=doc&amp;base=LAW&amp;n=472841&amp;date=16.12.2025&amp;dst=4214&amp;field=134" TargetMode = "External"/><Relationship Id="rId22" Type="http://schemas.openxmlformats.org/officeDocument/2006/relationships/hyperlink" Target="https://login.consultant.ru/link/?req=doc&amp;base=LAW&amp;n=472841&amp;date=16.12.2025&amp;dst=4215&amp;field=134" TargetMode = "External"/><Relationship Id="rId23" Type="http://schemas.openxmlformats.org/officeDocument/2006/relationships/hyperlink" Target="https://login.consultant.ru/link/?req=doc&amp;base=LAW&amp;n=472841&amp;date=16.12.2025&amp;dst=4214&amp;field=134" TargetMode = "External"/><Relationship Id="rId24" Type="http://schemas.openxmlformats.org/officeDocument/2006/relationships/hyperlink" Target="https://login.consultant.ru/link/?req=doc&amp;base=LAW&amp;n=472979&amp;date=16.12.2025" TargetMode = "External"/><Relationship Id="rId25" Type="http://schemas.openxmlformats.org/officeDocument/2006/relationships/hyperlink" Target="https://login.consultant.ru/link/?req=doc&amp;base=LAW&amp;n=472841&amp;date=16.12.2025&amp;dst=4216&amp;field=134" TargetMode = "External"/><Relationship Id="rId26" Type="http://schemas.openxmlformats.org/officeDocument/2006/relationships/hyperlink" Target="https://login.consultant.ru/link/?req=doc&amp;base=LAW&amp;n=472841&amp;date=16.12.2025&amp;dst=4217&amp;field=134" TargetMode = "External"/><Relationship Id="rId27" Type="http://schemas.openxmlformats.org/officeDocument/2006/relationships/hyperlink" Target="https://login.consultant.ru/link/?req=doc&amp;base=LAW&amp;n=464181&amp;date=16.12.2025&amp;dst=100078&amp;field=134" TargetMode = "External"/><Relationship Id="rId28" Type="http://schemas.openxmlformats.org/officeDocument/2006/relationships/hyperlink" Target="https://login.consultant.ru/link/?req=doc&amp;base=LAW&amp;n=464181&amp;date=16.12.2025" TargetMode = "External"/><Relationship Id="rId29" Type="http://schemas.openxmlformats.org/officeDocument/2006/relationships/hyperlink" Target="https://login.consultant.ru/link/?req=doc&amp;base=LAW&amp;n=63894&amp;date=16.12.2025" TargetMode = "External"/><Relationship Id="rId30" Type="http://schemas.openxmlformats.org/officeDocument/2006/relationships/hyperlink" Target="https://login.consultant.ru/link/?req=doc&amp;base=LAW&amp;n=63894&amp;date=16.12.2025&amp;dst=100032&amp;field=134" TargetMode = "External"/><Relationship Id="rId31" Type="http://schemas.openxmlformats.org/officeDocument/2006/relationships/hyperlink" Target="https://login.consultant.ru/link/?req=doc&amp;base=LAW&amp;n=63894&amp;date=16.12.2025&amp;dst=100035&amp;field=134" TargetMode = "External"/><Relationship Id="rId32" Type="http://schemas.openxmlformats.org/officeDocument/2006/relationships/hyperlink" Target="https://login.consultant.ru/link/?req=doc&amp;base=LAW&amp;n=472841&amp;date=16.12.2025&amp;dst=4214&amp;field=134" TargetMode = "External"/><Relationship Id="rId33" Type="http://schemas.openxmlformats.org/officeDocument/2006/relationships/hyperlink" Target="https://login.consultant.ru/link/?req=doc&amp;base=LAW&amp;n=472841&amp;date=16.12.2025&amp;dst=4213&amp;field=134" TargetMode = "External"/><Relationship Id="rId34" Type="http://schemas.openxmlformats.org/officeDocument/2006/relationships/hyperlink" Target="https://login.consultant.ru/link/?req=doc&amp;base=LAW&amp;n=472979&amp;date=16.12.2025&amp;dst=100469&amp;field=134" TargetMode = "External"/><Relationship Id="rId35" Type="http://schemas.openxmlformats.org/officeDocument/2006/relationships/hyperlink" Target="https://login.consultant.ru/link/?req=doc&amp;base=LAW&amp;n=472979&amp;date=16.12.2025&amp;dst=100516&amp;field=134" TargetMode = "External"/><Relationship Id="rId36" Type="http://schemas.openxmlformats.org/officeDocument/2006/relationships/hyperlink" Target="https://login.consultant.ru/link/?req=doc&amp;base=LAW&amp;n=472979&amp;date=16.12.2025&amp;dst=23624&amp;field=134" TargetMode = "External"/><Relationship Id="rId37" Type="http://schemas.openxmlformats.org/officeDocument/2006/relationships/hyperlink" Target="https://login.consultant.ru/link/?req=doc&amp;base=LAW&amp;n=472979&amp;date=16.12.2025&amp;dst=101953&amp;field=134" TargetMode = "External"/><Relationship Id="rId38" Type="http://schemas.openxmlformats.org/officeDocument/2006/relationships/hyperlink" Target="https://login.consultant.ru/link/?req=doc&amp;base=LAW&amp;n=41168&amp;date=16.12.2025&amp;dst=102200&amp;field=134" TargetMode = "External"/><Relationship Id="rId39" Type="http://schemas.openxmlformats.org/officeDocument/2006/relationships/hyperlink" Target="https://login.consultant.ru/link/?req=doc&amp;base=ARB&amp;n=483054&amp;date=16.12.2025" TargetMode = "External"/><Relationship Id="rId40" Type="http://schemas.openxmlformats.org/officeDocument/2006/relationships/hyperlink" Target="https://login.consultant.ru/link/?req=doc&amp;base=LAW&amp;n=472979&amp;date=16.12.2025&amp;dst=100515&amp;field=134" TargetMode = "External"/><Relationship Id="rId41" Type="http://schemas.openxmlformats.org/officeDocument/2006/relationships/hyperlink" Target="https://login.consultant.ru/link/?req=doc&amp;base=LAW&amp;n=472979&amp;date=16.12.2025&amp;dst=100534&amp;field=134" TargetMode = "External"/><Relationship Id="rId42" Type="http://schemas.openxmlformats.org/officeDocument/2006/relationships/hyperlink" Target="https://login.consultant.ru/link/?req=doc&amp;base=LAW&amp;n=464181&amp;date=16.12.2025" TargetMode = "External"/><Relationship Id="rId43" Type="http://schemas.openxmlformats.org/officeDocument/2006/relationships/hyperlink" Target="https://login.consultant.ru/link/?req=doc&amp;base=LAW&amp;n=472841&amp;date=16.12.2025" TargetMode = "External"/><Relationship Id="rId44" Type="http://schemas.openxmlformats.org/officeDocument/2006/relationships/hyperlink" Target="https://login.consultant.ru/link/?req=doc&amp;base=LAW&amp;n=472841&amp;date=16.12.2025" TargetMode = "External"/><Relationship Id="rId45" Type="http://schemas.openxmlformats.org/officeDocument/2006/relationships/hyperlink" Target="https://login.consultant.ru/link/?req=doc&amp;base=LAW&amp;n=472841&amp;date=16.12.2025&amp;dst=101367&amp;field=134" TargetMode = "External"/><Relationship Id="rId46" Type="http://schemas.openxmlformats.org/officeDocument/2006/relationships/hyperlink" Target="https://login.consultant.ru/link/?req=doc&amp;base=ARB&amp;n=483054&amp;date=16.12.2025" TargetMode = "External"/><Relationship Id="rId47" Type="http://schemas.openxmlformats.org/officeDocument/2006/relationships/hyperlink" Target="https://login.consultant.ru/link/?req=doc&amp;base=LAW&amp;n=472841&amp;date=16.12.2025&amp;dst=4214&amp;field=134" TargetMode = "External"/><Relationship Id="rId48" Type="http://schemas.openxmlformats.org/officeDocument/2006/relationships/hyperlink" Target="https://login.consultant.ru/link/?req=doc&amp;base=ARB&amp;n=483194&amp;date=16.12.2025" TargetMode = "External"/><Relationship Id="rId49" Type="http://schemas.openxmlformats.org/officeDocument/2006/relationships/hyperlink" Target="https://login.consultant.ru/link/?req=doc&amp;base=LAW&amp;n=472841&amp;date=16.12.2025&amp;dst=670&amp;field=134" TargetMode = "External"/><Relationship Id="rId50" Type="http://schemas.openxmlformats.org/officeDocument/2006/relationships/hyperlink" Target="https://login.consultant.ru/link/?req=doc&amp;base=LAW&amp;n=465972&amp;date=16.12.2025" TargetMode = "External"/><Relationship Id="rId51" Type="http://schemas.openxmlformats.org/officeDocument/2006/relationships/hyperlink" Target="https://login.consultant.ru/link/?req=doc&amp;base=ARB&amp;n=451642&amp;date=16.12.2025" TargetMode = "External"/><Relationship Id="rId52" Type="http://schemas.openxmlformats.org/officeDocument/2006/relationships/hyperlink" Target="https://login.consultant.ru/link/?req=doc&amp;base=LAW&amp;n=482731&amp;date=16.12.2025&amp;dst=100374&amp;field=134" TargetMode = "External"/><Relationship Id="rId53" Type="http://schemas.openxmlformats.org/officeDocument/2006/relationships/hyperlink" Target="https://login.consultant.ru/link/?req=doc&amp;base=LAW&amp;n=472841&amp;date=16.12.2025&amp;dst=4213&amp;field=134" TargetMode = "External"/><Relationship Id="rId54" Type="http://schemas.openxmlformats.org/officeDocument/2006/relationships/hyperlink" Target="https://login.consultant.ru/link/?req=doc&amp;base=LAW&amp;n=482731&amp;date=16.12.2025&amp;dst=100407&amp;field=134" TargetMode = "External"/><Relationship Id="rId55" Type="http://schemas.openxmlformats.org/officeDocument/2006/relationships/hyperlink" Target="https://login.consultant.ru/link/?req=doc&amp;base=LAW&amp;n=482731&amp;date=16.12.2025&amp;dst=100419&amp;field=134" TargetMode = "External"/><Relationship Id="rId56" Type="http://schemas.openxmlformats.org/officeDocument/2006/relationships/hyperlink" Target="https://login.consultant.ru/link/?req=doc&amp;base=LAW&amp;n=482731&amp;date=16.12.2025&amp;dst=101882&amp;field=134" TargetMode = "External"/><Relationship Id="rId57" Type="http://schemas.openxmlformats.org/officeDocument/2006/relationships/hyperlink" Target="https://login.consultant.ru/link/?req=doc&amp;base=LAW&amp;n=482731&amp;date=16.12.2025&amp;dst=101894&amp;field=134" TargetMode = "External"/><Relationship Id="rId58" Type="http://schemas.openxmlformats.org/officeDocument/2006/relationships/hyperlink" Target="https://login.consultant.ru/link/?req=doc&amp;base=LAW&amp;n=482731&amp;date=16.12.2025&amp;dst=101888&amp;field=134" TargetMode = "External"/><Relationship Id="rId59" Type="http://schemas.openxmlformats.org/officeDocument/2006/relationships/hyperlink" Target="https://login.consultant.ru/link/?req=doc&amp;base=LAW&amp;n=482731&amp;date=16.12.2025&amp;dst=101882&amp;field=134" TargetMode = "External"/><Relationship Id="rId60" Type="http://schemas.openxmlformats.org/officeDocument/2006/relationships/hyperlink" Target="https://login.consultant.ru/link/?req=doc&amp;base=LAW&amp;n=482731&amp;date=16.12.2025&amp;dst=101910&amp;field=134" TargetMode = "External"/><Relationship Id="rId61" Type="http://schemas.openxmlformats.org/officeDocument/2006/relationships/hyperlink" Target="https://login.consultant.ru/link/?req=doc&amp;base=ASPV&amp;n=2296398&amp;date=16.12.2025" TargetMode = "External"/><Relationship Id="rId62" Type="http://schemas.openxmlformats.org/officeDocument/2006/relationships/hyperlink" Target="https://login.consultant.ru/link/?req=doc&amp;base=RAPS011&amp;n=240156&amp;date=16.12.2025" TargetMode = "External"/><Relationship Id="rId63" Type="http://schemas.openxmlformats.org/officeDocument/2006/relationships/hyperlink" Target="https://login.consultant.ru/link/?req=doc&amp;base=LAW&amp;n=482731&amp;date=16.12.2025&amp;dst=1663&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Поволжского округа от 04.12.2024 N Ф06-9351/2024 по делу N А65-36195/2023
Требование: О признании недействительным решения налогового органа, об обязании устранить допущенные нарушения прав.
Обстоятельства: Налоговый орган доначислил НДС, налог на прибыль организаций, начислил штраф, сделав вывод о получении налогоплательщиком необоснованной налоговой выгоды по сделкам с контрагентами.
Решение: Требование удовлетворено, поскольку установлено, что налогоплательщик не имеет отн</dc:title>
  <dcterms:created xsi:type="dcterms:W3CDTF">2025-12-16T06:50:10Z</dcterms:created>
</cp:coreProperties>
</file>